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BA6" w:rsidRDefault="00C04F2F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</w:t>
      </w:r>
      <w:r>
        <w:rPr>
          <w:b/>
          <w:bCs/>
          <w:sz w:val="24"/>
          <w:szCs w:val="22"/>
        </w:rPr>
        <w:t>114-bis Meeting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>
        <w:rPr>
          <w:rFonts w:eastAsia="Batang"/>
          <w:b/>
          <w:bCs/>
          <w:sz w:val="22"/>
          <w:szCs w:val="22"/>
          <w:lang w:val="en-GB"/>
        </w:rPr>
        <w:t>R1-2309620</w:t>
      </w:r>
    </w:p>
    <w:p w:rsidR="00313BA6" w:rsidRDefault="00C04F2F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</w:rPr>
        <w:t>Xiamen, China, October 9</w:t>
      </w:r>
      <w:r>
        <w:rPr>
          <w:rFonts w:eastAsia="Batang"/>
          <w:b/>
          <w:bCs/>
          <w:sz w:val="22"/>
          <w:szCs w:val="22"/>
          <w:vertAlign w:val="superscript"/>
        </w:rPr>
        <w:t>st</w:t>
      </w:r>
      <w:r>
        <w:rPr>
          <w:rFonts w:eastAsia="Batang"/>
          <w:b/>
          <w:bCs/>
          <w:sz w:val="22"/>
          <w:szCs w:val="22"/>
        </w:rPr>
        <w:t xml:space="preserve"> – October 13</w:t>
      </w:r>
      <w:r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>, 2023</w:t>
      </w:r>
    </w:p>
    <w:p w:rsidR="00313BA6" w:rsidRDefault="00313BA6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313BA6" w:rsidRDefault="00C04F2F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313BA6" w:rsidRDefault="00C04F2F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XR specific capacity enhancements</w:t>
      </w:r>
    </w:p>
    <w:p w:rsidR="00313BA6" w:rsidRDefault="00C04F2F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8</w:t>
      </w:r>
      <w:r>
        <w:rPr>
          <w:rFonts w:ascii="Times New Roman" w:eastAsia="SimSun" w:hAnsi="Times New Roman"/>
          <w:sz w:val="22"/>
          <w:szCs w:val="22"/>
          <w:lang w:eastAsia="zh-CN"/>
        </w:rPr>
        <w:t>.</w:t>
      </w:r>
      <w:r>
        <w:rPr>
          <w:rFonts w:ascii="Times New Roman" w:eastAsia="SimSun" w:hAnsi="Times New Roman"/>
          <w:sz w:val="22"/>
          <w:szCs w:val="22"/>
          <w:lang w:eastAsia="zh-CN"/>
        </w:rPr>
        <w:t>6</w:t>
      </w:r>
      <w:r>
        <w:rPr>
          <w:rFonts w:ascii="Times New Roman" w:eastAsia="SimSun" w:hAnsi="Times New Roman"/>
          <w:sz w:val="22"/>
          <w:szCs w:val="22"/>
          <w:lang w:eastAsia="zh-CN"/>
        </w:rPr>
        <w:t>.1</w:t>
      </w:r>
    </w:p>
    <w:p w:rsidR="00313BA6" w:rsidRDefault="00C04F2F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 xml:space="preserve">Document </w:t>
      </w:r>
      <w:r>
        <w:rPr>
          <w:rFonts w:ascii="Times New Roman" w:hAnsi="Times New Roman"/>
          <w:sz w:val="22"/>
          <w:szCs w:val="22"/>
        </w:rPr>
        <w:t>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313BA6" w:rsidRDefault="00313BA6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313BA6" w:rsidRDefault="00C04F2F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313BA6" w:rsidRDefault="00C04F2F">
      <w:pPr>
        <w:pStyle w:val="00Text"/>
        <w:spacing w:before="0" w:line="240" w:lineRule="auto"/>
      </w:pPr>
      <w:bookmarkStart w:id="0" w:name="_Hlk30969022"/>
      <w:r>
        <w:t>In RAN1 #114 meeting, the following agreements</w:t>
      </w:r>
      <w:r>
        <w:rPr>
          <w:lang w:val="en-GB"/>
        </w:rPr>
        <w:t xml:space="preserve"> were made for XR-specific capacity</w:t>
      </w:r>
      <w:r>
        <w:t xml:space="preserve"> enhancements:</w:t>
      </w:r>
    </w:p>
    <w:bookmarkEnd w:id="0"/>
    <w:p w:rsidR="00313BA6" w:rsidRDefault="00C04F2F">
      <w:pPr>
        <w:spacing w:after="0" w:line="240" w:lineRule="auto"/>
        <w:rPr>
          <w:rFonts w:ascii="Times" w:eastAsia="Batang" w:hAnsi="Times" w:cs="Times"/>
          <w:b/>
          <w:bCs/>
          <w:szCs w:val="20"/>
          <w:highlight w:val="green"/>
          <w:lang w:val="en-GB" w:eastAsia="zh-CN"/>
        </w:rPr>
      </w:pPr>
      <w:r>
        <w:rPr>
          <w:rFonts w:ascii="Times" w:eastAsia="Batang" w:hAnsi="Times" w:cs="Times"/>
          <w:b/>
          <w:bCs/>
          <w:szCs w:val="20"/>
          <w:highlight w:val="green"/>
          <w:lang w:val="en-GB" w:eastAsia="zh-CN"/>
        </w:rPr>
        <w:t>Agreement</w:t>
      </w:r>
    </w:p>
    <w:p w:rsidR="00313BA6" w:rsidRDefault="00C04F2F">
      <w:pPr>
        <w:spacing w:after="0" w:line="259" w:lineRule="auto"/>
        <w:rPr>
          <w:rFonts w:eastAsia="Batang"/>
          <w:bCs/>
          <w:szCs w:val="16"/>
          <w:lang w:eastAsia="ja-JP"/>
        </w:rPr>
      </w:pPr>
      <w:r>
        <w:rPr>
          <w:rFonts w:eastAsia="Batang"/>
          <w:bCs/>
          <w:szCs w:val="16"/>
          <w:lang w:eastAsia="ja-JP"/>
        </w:rPr>
        <w:t xml:space="preserve">For a multi-PUSCH CG configuration, the range value of the higher layer parameter indicating number of </w:t>
      </w:r>
      <w:r>
        <w:rPr>
          <w:rFonts w:eastAsia="Batang"/>
          <w:bCs/>
          <w:szCs w:val="16"/>
          <w:lang w:eastAsia="ja-JP"/>
        </w:rPr>
        <w:t>consecutive slots (N in previous agreements) is:</w:t>
      </w:r>
    </w:p>
    <w:p w:rsidR="00313BA6" w:rsidRDefault="00C04F2F">
      <w:pPr>
        <w:numPr>
          <w:ilvl w:val="0"/>
          <w:numId w:val="8"/>
        </w:numPr>
        <w:spacing w:after="0" w:line="259" w:lineRule="auto"/>
        <w:rPr>
          <w:rFonts w:ascii="Times" w:eastAsia="Batang" w:hAnsi="Times" w:cs="Times"/>
          <w:szCs w:val="20"/>
          <w:lang w:val="en-GB" w:eastAsia="zh-CN"/>
        </w:rPr>
      </w:pPr>
      <w:r>
        <w:rPr>
          <w:rFonts w:ascii="Times" w:eastAsia="Batang" w:hAnsi="Times" w:cs="Times"/>
          <w:szCs w:val="20"/>
          <w:lang w:val="en-GB" w:eastAsia="zh-CN"/>
        </w:rPr>
        <w:t>Max value=16 or 32</w:t>
      </w:r>
    </w:p>
    <w:p w:rsidR="00313BA6" w:rsidRDefault="00C04F2F">
      <w:pPr>
        <w:numPr>
          <w:ilvl w:val="1"/>
          <w:numId w:val="8"/>
        </w:numPr>
        <w:spacing w:after="0" w:line="259" w:lineRule="auto"/>
        <w:rPr>
          <w:rFonts w:ascii="Times" w:eastAsia="Batang" w:hAnsi="Times" w:cs="Times"/>
          <w:szCs w:val="20"/>
          <w:lang w:val="en-GB" w:eastAsia="zh-CN"/>
        </w:rPr>
      </w:pPr>
      <w:r>
        <w:rPr>
          <w:rFonts w:ascii="Times" w:eastAsia="Batang" w:hAnsi="Times" w:cs="Times"/>
          <w:szCs w:val="20"/>
          <w:lang w:val="en-GB" w:eastAsia="zh-CN"/>
        </w:rPr>
        <w:t>Up to UE capability</w:t>
      </w:r>
    </w:p>
    <w:p w:rsidR="00313BA6" w:rsidRDefault="00C04F2F">
      <w:pPr>
        <w:numPr>
          <w:ilvl w:val="0"/>
          <w:numId w:val="8"/>
        </w:numPr>
        <w:spacing w:after="120" w:line="240" w:lineRule="auto"/>
        <w:ind w:left="714" w:hanging="357"/>
        <w:rPr>
          <w:rFonts w:ascii="Times" w:eastAsia="Batang" w:hAnsi="Times" w:cs="Times"/>
          <w:szCs w:val="20"/>
          <w:lang w:val="en-GB" w:eastAsia="zh-CN"/>
        </w:rPr>
      </w:pPr>
      <w:r>
        <w:rPr>
          <w:rFonts w:ascii="Times" w:eastAsia="Batang" w:hAnsi="Times" w:cs="Times"/>
          <w:szCs w:val="20"/>
          <w:lang w:val="en-GB" w:eastAsia="zh-CN"/>
        </w:rPr>
        <w:t>Min value=2</w:t>
      </w:r>
    </w:p>
    <w:p w:rsidR="00313BA6" w:rsidRDefault="00C04F2F">
      <w:pPr>
        <w:spacing w:after="0" w:line="240" w:lineRule="auto"/>
        <w:rPr>
          <w:rFonts w:ascii="Times" w:eastAsia="Batang" w:hAnsi="Times" w:cs="Times"/>
          <w:b/>
          <w:bCs/>
          <w:szCs w:val="20"/>
          <w:highlight w:val="green"/>
          <w:lang w:val="en-GB" w:eastAsia="zh-CN"/>
        </w:rPr>
      </w:pPr>
      <w:r>
        <w:rPr>
          <w:rFonts w:ascii="Times" w:eastAsia="Batang" w:hAnsi="Times" w:cs="Times"/>
          <w:b/>
          <w:bCs/>
          <w:szCs w:val="20"/>
          <w:highlight w:val="green"/>
          <w:lang w:val="en-GB" w:eastAsia="zh-CN"/>
        </w:rPr>
        <w:t>Agreement</w:t>
      </w:r>
    </w:p>
    <w:p w:rsidR="00313BA6" w:rsidRDefault="00C04F2F">
      <w:pPr>
        <w:spacing w:after="0" w:line="240" w:lineRule="auto"/>
        <w:rPr>
          <w:rFonts w:ascii="Times" w:eastAsia="Batang" w:hAnsi="Times" w:cs="Times"/>
          <w:szCs w:val="20"/>
          <w:lang w:val="en-GB" w:eastAsia="ja-JP"/>
        </w:rPr>
      </w:pPr>
      <w:r>
        <w:rPr>
          <w:rFonts w:ascii="Times" w:eastAsia="Batang" w:hAnsi="Times" w:cs="Times"/>
          <w:szCs w:val="20"/>
          <w:lang w:val="en-GB" w:eastAsia="ja-JP"/>
        </w:rPr>
        <w:t>For a CG configuration with UTO-UCI indication enabled:</w:t>
      </w:r>
    </w:p>
    <w:p w:rsidR="00313BA6" w:rsidRDefault="00C04F2F">
      <w:pPr>
        <w:numPr>
          <w:ilvl w:val="0"/>
          <w:numId w:val="9"/>
        </w:numPr>
        <w:spacing w:after="120" w:line="240" w:lineRule="auto"/>
        <w:ind w:left="714" w:hanging="357"/>
        <w:rPr>
          <w:rFonts w:ascii="Times" w:eastAsia="Batang" w:hAnsi="Times" w:cs="Times"/>
          <w:szCs w:val="20"/>
          <w:lang w:val="en-GB" w:eastAsia="ja-JP"/>
        </w:rPr>
      </w:pPr>
      <w:r>
        <w:rPr>
          <w:rFonts w:ascii="Times" w:eastAsia="Batang" w:hAnsi="Times" w:cs="Times"/>
          <w:szCs w:val="20"/>
          <w:lang w:val="en-GB" w:eastAsia="ja-JP"/>
        </w:rPr>
        <w:t>For the range value for the RRC parameter Nu (Nu is the size of bit-map): (3, …, 8)</w:t>
      </w:r>
    </w:p>
    <w:p w:rsidR="00313BA6" w:rsidRDefault="00C04F2F">
      <w:pPr>
        <w:spacing w:before="120" w:after="0" w:line="240" w:lineRule="auto"/>
        <w:rPr>
          <w:rFonts w:cs="Times"/>
          <w:b/>
          <w:bCs/>
          <w:szCs w:val="20"/>
          <w:highlight w:val="green"/>
          <w:lang w:eastAsia="zh-CN"/>
        </w:rPr>
      </w:pPr>
      <w:r>
        <w:rPr>
          <w:rFonts w:cs="Times"/>
          <w:b/>
          <w:bCs/>
          <w:szCs w:val="20"/>
          <w:highlight w:val="green"/>
          <w:lang w:eastAsia="zh-CN"/>
        </w:rPr>
        <w:t>Proposal 4-2:</w:t>
      </w:r>
    </w:p>
    <w:p w:rsidR="00313BA6" w:rsidRDefault="00C04F2F">
      <w:pPr>
        <w:spacing w:after="120" w:line="240" w:lineRule="auto"/>
        <w:rPr>
          <w:lang w:eastAsia="ja-JP"/>
        </w:rPr>
      </w:pPr>
      <w:r>
        <w:rPr>
          <w:lang w:eastAsia="ja-JP"/>
        </w:rPr>
        <w:t>Select one of the following options:</w:t>
      </w:r>
    </w:p>
    <w:p w:rsidR="00313BA6" w:rsidRDefault="00C04F2F">
      <w:pPr>
        <w:pStyle w:val="xmsonormal"/>
        <w:numPr>
          <w:ilvl w:val="0"/>
          <w:numId w:val="10"/>
        </w:numPr>
        <w:ind w:left="1000" w:hanging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1: Introduce a new capability to indicated maximum number of multi-PUSCH CG configurations (at least 2) per BWP of a serving cell and across all serving cells</w:t>
      </w:r>
    </w:p>
    <w:p w:rsidR="00313BA6" w:rsidRDefault="00C04F2F">
      <w:pPr>
        <w:pStyle w:val="xmsonormal"/>
        <w:numPr>
          <w:ilvl w:val="1"/>
          <w:numId w:val="10"/>
        </w:numPr>
        <w:ind w:firstLine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FG 50-1 as pre-requisite.</w:t>
      </w:r>
    </w:p>
    <w:p w:rsidR="00313BA6" w:rsidRDefault="00C04F2F">
      <w:pPr>
        <w:pStyle w:val="xmsonormal"/>
        <w:numPr>
          <w:ilvl w:val="1"/>
          <w:numId w:val="10"/>
        </w:numPr>
        <w:ind w:firstLine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FG 11-9 NOT </w:t>
      </w:r>
      <w:r>
        <w:rPr>
          <w:rFonts w:ascii="Times New Roman" w:hAnsi="Times New Roman" w:cs="Times New Roman"/>
          <w:sz w:val="20"/>
          <w:szCs w:val="20"/>
        </w:rPr>
        <w:t>as pre-requisite</w:t>
      </w:r>
    </w:p>
    <w:p w:rsidR="00313BA6" w:rsidRDefault="00C04F2F">
      <w:pPr>
        <w:pStyle w:val="xmsonormal"/>
        <w:numPr>
          <w:ilvl w:val="0"/>
          <w:numId w:val="10"/>
        </w:numPr>
        <w:ind w:left="1000" w:hanging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2: Introduce a new capability to indicated maximum number of multi-PUSCH CG configurations (at least 2) per BWP of a serving cell and across all serving cells. The maximum number should not exceed the corresponding maximum number of</w:t>
      </w:r>
      <w:r>
        <w:rPr>
          <w:rFonts w:ascii="Times New Roman" w:hAnsi="Times New Roman" w:cs="Times New Roman"/>
          <w:sz w:val="20"/>
          <w:szCs w:val="20"/>
        </w:rPr>
        <w:t xml:space="preserve"> CG configurations indicated by FG 11-9.</w:t>
      </w:r>
    </w:p>
    <w:p w:rsidR="00313BA6" w:rsidRDefault="00C04F2F">
      <w:pPr>
        <w:pStyle w:val="xmsonormal"/>
        <w:numPr>
          <w:ilvl w:val="1"/>
          <w:numId w:val="10"/>
        </w:numPr>
        <w:ind w:firstLine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FG 50-1 as pre-requisite.</w:t>
      </w:r>
    </w:p>
    <w:p w:rsidR="00313BA6" w:rsidRDefault="00C04F2F">
      <w:pPr>
        <w:pStyle w:val="xmsonormal"/>
        <w:numPr>
          <w:ilvl w:val="1"/>
          <w:numId w:val="10"/>
        </w:numPr>
        <w:ind w:firstLine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FG 11-9 as pre-requisite</w:t>
      </w:r>
    </w:p>
    <w:p w:rsidR="00313BA6" w:rsidRDefault="00C04F2F">
      <w:pPr>
        <w:pStyle w:val="xmsonormal"/>
        <w:numPr>
          <w:ilvl w:val="0"/>
          <w:numId w:val="10"/>
        </w:numPr>
        <w:ind w:left="1000" w:hanging="4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3: Maximum number of multi-PUSCH CG configuration per BWP of a serving cell is one.</w:t>
      </w:r>
    </w:p>
    <w:p w:rsidR="00313BA6" w:rsidRDefault="00C04F2F">
      <w:pPr>
        <w:spacing w:before="120" w:after="120" w:line="240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show our views on CG PUSCH enhancements for R18 </w:t>
      </w:r>
      <w:r>
        <w:rPr>
          <w:rFonts w:eastAsia="SimSun"/>
          <w:lang w:eastAsia="zh-CN"/>
        </w:rPr>
        <w:t>XR.</w:t>
      </w:r>
    </w:p>
    <w:p w:rsidR="00313BA6" w:rsidRDefault="00313BA6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313BA6" w:rsidRDefault="00313BA6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313BA6" w:rsidRDefault="00C04F2F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313BA6" w:rsidRDefault="00C04F2F">
      <w:pPr>
        <w:spacing w:after="120" w:line="240" w:lineRule="auto"/>
        <w:jc w:val="both"/>
        <w:rPr>
          <w:rFonts w:ascii="Times" w:eastAsia="Batang" w:hAnsi="Times"/>
          <w:b/>
          <w:bCs/>
          <w:i/>
          <w:iCs/>
          <w:color w:val="000000"/>
          <w:u w:val="single"/>
        </w:rPr>
      </w:pPr>
      <w:r>
        <w:rPr>
          <w:rFonts w:ascii="Times" w:eastAsia="Batang" w:hAnsi="Times"/>
          <w:b/>
          <w:bCs/>
          <w:i/>
          <w:iCs/>
          <w:color w:val="000000"/>
          <w:u w:val="single"/>
        </w:rPr>
        <w:t xml:space="preserve">Issue #1: </w:t>
      </w:r>
    </w:p>
    <w:p w:rsidR="00313BA6" w:rsidRDefault="00C04F2F">
      <w:pPr>
        <w:spacing w:after="120" w:line="240" w:lineRule="auto"/>
        <w:jc w:val="both"/>
        <w:rPr>
          <w:rFonts w:ascii="Times" w:eastAsia="Batang" w:hAnsi="Times"/>
          <w:color w:val="000000"/>
        </w:rPr>
      </w:pPr>
      <w:r>
        <w:rPr>
          <w:rFonts w:ascii="Times" w:eastAsia="Batang" w:hAnsi="Times"/>
          <w:color w:val="000000"/>
        </w:rPr>
        <w:t>XR frame rates (15, 30, 45, 60, 72, 90 and 120 frames per second) correspond to rational periodicity of 200/3, 100/3, 200/9, 50/3, 125/9, 100/9 and 25/3 ms respectively</w:t>
      </w:r>
      <w:r>
        <w:rPr>
          <w:rFonts w:ascii="Times" w:eastAsia="Batang" w:hAnsi="Times" w:hint="eastAsia"/>
          <w:color w:val="000000"/>
        </w:rPr>
        <w:t>.</w:t>
      </w:r>
      <w:r>
        <w:rPr>
          <w:rFonts w:ascii="Times" w:eastAsia="Batang" w:hAnsi="Times"/>
          <w:color w:val="000000"/>
        </w:rPr>
        <w:t xml:space="preserve"> Multiple CG configurations with multi-PUSCH CGs configured to a UE can solve the issue of non-integer traffic periodicity. We </w:t>
      </w:r>
      <w:r>
        <w:rPr>
          <w:rFonts w:eastAsiaTheme="minorEastAsia"/>
        </w:rPr>
        <w:t>p</w:t>
      </w:r>
      <w:r>
        <w:rPr>
          <w:rFonts w:ascii="Times" w:eastAsia="Batang" w:hAnsi="Times"/>
          <w:color w:val="000000"/>
        </w:rPr>
        <w:t xml:space="preserve">ropose </w:t>
      </w:r>
      <w:bookmarkStart w:id="1" w:name="_Hlk141888071"/>
      <w:r>
        <w:rPr>
          <w:rFonts w:ascii="Times" w:eastAsia="Batang" w:hAnsi="Times"/>
          <w:color w:val="000000"/>
        </w:rPr>
        <w:t xml:space="preserve">the maximum number of </w:t>
      </w:r>
      <w:r>
        <w:rPr>
          <w:rFonts w:ascii="Times" w:eastAsia="Batang" w:hAnsi="Times" w:cs="Times"/>
          <w:lang w:val="en-GB"/>
        </w:rPr>
        <w:t xml:space="preserve">CG configurations </w:t>
      </w:r>
      <w:r>
        <w:rPr>
          <w:rFonts w:ascii="Times" w:eastAsia="Batang" w:hAnsi="Times"/>
          <w:color w:val="000000"/>
        </w:rPr>
        <w:t>with multi-PUSCH CGs should be based on UE</w:t>
      </w:r>
      <w:r>
        <w:t xml:space="preserve"> capability</w:t>
      </w:r>
      <w:r>
        <w:rPr>
          <w:rFonts w:ascii="Times" w:eastAsiaTheme="minorEastAsia" w:hAnsi="Times" w:hint="eastAsia"/>
          <w:color w:val="000000"/>
        </w:rPr>
        <w:t>.</w:t>
      </w:r>
      <w:bookmarkEnd w:id="1"/>
      <w:r>
        <w:rPr>
          <w:rFonts w:ascii="Times" w:eastAsiaTheme="minorEastAsia" w:hAnsi="Times"/>
          <w:color w:val="000000"/>
        </w:rPr>
        <w:t xml:space="preserve"> Furthermore, the total number of CG</w:t>
      </w:r>
      <w:r>
        <w:rPr>
          <w:rFonts w:ascii="Times" w:eastAsia="Batang" w:hAnsi="Times" w:cs="Times"/>
          <w:lang w:val="en-GB"/>
        </w:rPr>
        <w:t xml:space="preserve"> configurations, including configuration(s) with single PUSCH CG and configuration(s) with multi-PUSCH CGs, supported by a UE should not exceed the </w:t>
      </w:r>
      <w:r>
        <w:rPr>
          <w:rFonts w:ascii="Times" w:eastAsia="Batang" w:hAnsi="Times"/>
          <w:color w:val="000000"/>
        </w:rPr>
        <w:t>maximum number of CG configurations supported by the UE in R16.</w:t>
      </w:r>
    </w:p>
    <w:p w:rsidR="00313BA6" w:rsidRDefault="00C04F2F">
      <w:p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</w:t>
      </w:r>
      <w:r>
        <w:rPr>
          <w:rFonts w:eastAsiaTheme="minorEastAsia"/>
          <w:b/>
          <w:i/>
        </w:rPr>
        <w:t xml:space="preserve"> 1: Support Option 2, i.e. introduce a new capability to indicated maximum number of multi-PUSCH CG configurations (at least 2) per BWP of a serving cell and across all serving cells. The maximum number should not exceed the corresponding maximum number of</w:t>
      </w:r>
      <w:r>
        <w:rPr>
          <w:rFonts w:eastAsiaTheme="minorEastAsia"/>
          <w:b/>
          <w:i/>
        </w:rPr>
        <w:t xml:space="preserve"> CG configurations indicated by FG 11-9.</w:t>
      </w:r>
    </w:p>
    <w:p w:rsidR="00313BA6" w:rsidRDefault="00313BA6">
      <w:pPr>
        <w:spacing w:after="120" w:line="240" w:lineRule="auto"/>
        <w:jc w:val="both"/>
        <w:rPr>
          <w:rFonts w:ascii="Times" w:eastAsia="Batang" w:hAnsi="Times"/>
          <w:b/>
          <w:bCs/>
          <w:i/>
          <w:iCs/>
          <w:color w:val="000000"/>
          <w:u w:val="single"/>
        </w:rPr>
      </w:pPr>
    </w:p>
    <w:p w:rsidR="00313BA6" w:rsidRDefault="00C04F2F">
      <w:pPr>
        <w:spacing w:after="120" w:line="240" w:lineRule="auto"/>
        <w:jc w:val="both"/>
      </w:pPr>
      <w:r>
        <w:rPr>
          <w:rFonts w:ascii="Times" w:eastAsia="Batang" w:hAnsi="Times"/>
          <w:b/>
          <w:bCs/>
          <w:i/>
          <w:iCs/>
          <w:color w:val="000000"/>
          <w:u w:val="single"/>
        </w:rPr>
        <w:t xml:space="preserve">Issue #2: </w:t>
      </w:r>
    </w:p>
    <w:p w:rsidR="00313BA6" w:rsidRDefault="00C04F2F">
      <w:pPr>
        <w:pStyle w:val="BodyText"/>
        <w:tabs>
          <w:tab w:val="left" w:pos="800"/>
        </w:tabs>
        <w:spacing w:before="120"/>
      </w:pPr>
      <w:r>
        <w:t xml:space="preserve">In order to reflect the following RAN1 agreement: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313BA6">
        <w:tc>
          <w:tcPr>
            <w:tcW w:w="9286" w:type="dxa"/>
          </w:tcPr>
          <w:p w:rsidR="00313BA6" w:rsidRDefault="00C04F2F">
            <w:pPr>
              <w:snapToGrid w:val="0"/>
              <w:spacing w:after="0" w:line="240" w:lineRule="auto"/>
              <w:rPr>
                <w:b/>
                <w:bCs/>
                <w:szCs w:val="20"/>
                <w:highlight w:val="green"/>
              </w:rPr>
            </w:pPr>
            <w:r>
              <w:rPr>
                <w:b/>
                <w:bCs/>
                <w:szCs w:val="20"/>
                <w:highlight w:val="green"/>
              </w:rPr>
              <w:lastRenderedPageBreak/>
              <w:t>Agreement</w:t>
            </w:r>
            <w:r>
              <w:rPr>
                <w:rFonts w:cs="Times"/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  <w:lang w:eastAsia="zh-CN"/>
              </w:rPr>
              <w:t>[RAN1 #113]</w:t>
            </w:r>
          </w:p>
          <w:p w:rsidR="00313BA6" w:rsidRDefault="00C04F2F">
            <w:pPr>
              <w:snapToGrid w:val="0"/>
              <w:spacing w:after="0" w:line="240" w:lineRule="auto"/>
              <w:rPr>
                <w:rFonts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>The UTO-UCI indication for a CG configuration is applicable to only valid CG PUSCH TOs, if any.</w:t>
            </w:r>
          </w:p>
          <w:p w:rsidR="00313BA6" w:rsidRDefault="00C04F2F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</w:pPr>
            <w:r>
              <w:rPr>
                <w:rFonts w:eastAsia="Times New Roman" w:cs="Times"/>
                <w:lang w:eastAsia="ko-KR"/>
              </w:rPr>
              <w:t>Note: A configured CG PUSCH is inv</w:t>
            </w:r>
            <w:r>
              <w:rPr>
                <w:rFonts w:eastAsia="Times New Roman" w:cs="Times"/>
                <w:lang w:eastAsia="ko-KR"/>
              </w:rPr>
              <w:t xml:space="preserve">alid if the CG PUSCH is dropped due to collision with DL symbol(s) indicated by </w:t>
            </w:r>
            <w:r>
              <w:rPr>
                <w:rFonts w:eastAsia="Times New Roman" w:cs="Times"/>
                <w:i/>
                <w:iCs/>
                <w:lang w:eastAsia="ko-KR"/>
              </w:rPr>
              <w:t>tdd-UL-DL-ConfigurationCommon</w:t>
            </w:r>
            <w:r>
              <w:rPr>
                <w:rFonts w:eastAsia="Times New Roman" w:cs="Times"/>
                <w:lang w:eastAsia="ko-KR"/>
              </w:rPr>
              <w:t xml:space="preserve"> or </w:t>
            </w:r>
            <w:r>
              <w:rPr>
                <w:rFonts w:eastAsia="Times New Roman" w:cs="Times"/>
                <w:i/>
                <w:iCs/>
                <w:lang w:eastAsia="ko-KR"/>
              </w:rPr>
              <w:t>tdd-UL-DL-ConfigurationDedicated or SSB</w:t>
            </w:r>
            <w:r>
              <w:rPr>
                <w:rFonts w:eastAsia="Times New Roman" w:cs="Times"/>
                <w:lang w:eastAsia="ko-KR"/>
              </w:rPr>
              <w:t>. Otherwise, it is valid.</w:t>
            </w:r>
          </w:p>
        </w:tc>
      </w:tr>
    </w:tbl>
    <w:p w:rsidR="00313BA6" w:rsidRDefault="00781B69">
      <w:pPr>
        <w:pStyle w:val="BodyText"/>
        <w:tabs>
          <w:tab w:val="left" w:pos="800"/>
        </w:tabs>
        <w:spacing w:before="120"/>
      </w:pPr>
      <w:r>
        <w:t>t</w:t>
      </w:r>
      <w:r w:rsidR="00C04F2F">
        <w:t xml:space="preserve">he latest </w:t>
      </w:r>
      <w:r w:rsidR="00C04F2F">
        <w:t>CR for</w:t>
      </w:r>
      <w:r w:rsidR="00C04F2F">
        <w:t xml:space="preserve"> Rel-18 TS38.213</w:t>
      </w:r>
      <w:r w:rsidR="00C04F2F">
        <w:t xml:space="preserve"> adopted</w:t>
      </w:r>
      <w:r w:rsidR="00C04F2F">
        <w:t xml:space="preserve"> the following text: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313BA6">
        <w:tc>
          <w:tcPr>
            <w:tcW w:w="9286" w:type="dxa"/>
          </w:tcPr>
          <w:p w:rsidR="00313BA6" w:rsidRDefault="00C04F2F">
            <w:r>
              <w:t xml:space="preserve">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bits of UTO-UCI,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UTO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</m:oMath>
            <w:r>
              <w:t xml:space="preserve">, have a one-to-one mapping to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subsequent CG-PUSCH TOs in ascending order of start time. For unpaired spectrum operation,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</m:oMath>
            <w:r>
              <w:t xml:space="preserve"> sub</w:t>
            </w:r>
            <w:r>
              <w:t xml:space="preserve">sequent CG-PUSCH TOs </w:t>
            </w:r>
            <w:r>
              <w:rPr>
                <w:highlight w:val="yellow"/>
              </w:rPr>
              <w:t>exclude invalid ones where a UE does not transmit a PUSCH based on the procedures in Clause 11.1.</w:t>
            </w:r>
            <w:r>
              <w:t xml:space="preserve">  A bit value of ‘0’ indicates that the UE may transmit CG-PUSCH, and a bit value of ‘1’ indicates that the UE will not transmit CG-PUSCH,</w:t>
            </w:r>
            <w:r>
              <w:t xml:space="preserve"> in a corresponding CG-PUSCH TO. When the UE indicates by UTO-UCI a value of ‘1’ for a CG-PUSCH TO, the UE continues to indicate the value of ‘1’ for the CG-PUSCH TO by UTO-UCI multiplexed in subsequent CG-PUSCH transmissions, and the UE does not transmit </w:t>
            </w:r>
            <w:r>
              <w:t>CG-PUSCH in the CG-PUSCH TO.</w:t>
            </w:r>
          </w:p>
        </w:tc>
      </w:tr>
    </w:tbl>
    <w:p w:rsidR="00313BA6" w:rsidRDefault="00C04F2F">
      <w:pPr>
        <w:pStyle w:val="BodyText"/>
        <w:tabs>
          <w:tab w:val="left" w:pos="800"/>
        </w:tabs>
        <w:spacing w:before="120"/>
      </w:pPr>
      <w:r>
        <w:t>However, the text above for invalid configured PUSCH TO does not exactly match the</w:t>
      </w:r>
      <w:r w:rsidR="00781B69">
        <w:t xml:space="preserve"> Note in</w:t>
      </w:r>
      <w:r>
        <w:t xml:space="preserve"> RAN1 agreement for “invalid CG-PUSCH TO”. To be more specific, RAN1 agreement limits the invalid CG-PUSCH TO to the TOs colliding to any of sem</w:t>
      </w:r>
      <w:r>
        <w:t>i-statically configured DL symbols or DL symbols used for SSB reception; while the above</w:t>
      </w:r>
      <w:r w:rsidR="00781B69">
        <w:t xml:space="preserve"> CR</w:t>
      </w:r>
      <w:r>
        <w:t xml:space="preserve"> text links the invalid CG-PUSCH to the dismiss of transmission as defined in TS 38.213 clause 11.1, </w:t>
      </w:r>
      <w:r>
        <w:t>which includes the dismiss of PUSCH transmission even without colli</w:t>
      </w:r>
      <w:r>
        <w:t>ding with semi-static DL symbol or DL symbol used for SSB.  The referred TS38.213 text</w:t>
      </w:r>
      <w:r>
        <w:t>s in section 11.1</w:t>
      </w:r>
      <w:r>
        <w:t xml:space="preserve"> </w:t>
      </w:r>
      <w:r>
        <w:t>include</w:t>
      </w:r>
      <w:r>
        <w:t xml:space="preserve">: </w:t>
      </w:r>
    </w:p>
    <w:tbl>
      <w:tblPr>
        <w:tblStyle w:val="TableGrid"/>
        <w:tblW w:w="0" w:type="auto"/>
        <w:tblLook w:val="04A0"/>
      </w:tblPr>
      <w:tblGrid>
        <w:gridCol w:w="9060"/>
      </w:tblGrid>
      <w:tr w:rsidR="00313BA6">
        <w:tc>
          <w:tcPr>
            <w:tcW w:w="9060" w:type="dxa"/>
          </w:tcPr>
          <w:p w:rsidR="00313BA6" w:rsidRDefault="00C04F2F">
            <w:r>
              <w:t>[Text 1: the highlighted text below does not involve semi-static DL symbol or SSB, but triggers UE not to transmit PUSCH. ]</w:t>
            </w:r>
          </w:p>
          <w:p w:rsidR="00313BA6" w:rsidRDefault="00C04F2F">
            <w:pPr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 xml:space="preserve">If a UE </w:t>
            </w:r>
          </w:p>
          <w:p w:rsidR="00313BA6" w:rsidRDefault="00C04F2F">
            <w:pPr>
              <w:pStyle w:val="B1"/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is conf</w:t>
            </w:r>
            <w:r>
              <w:rPr>
                <w:highlight w:val="yellow"/>
              </w:rPr>
              <w:t xml:space="preserve">igured with multiple serving cells and is provided with </w:t>
            </w:r>
            <w:r>
              <w:rPr>
                <w:i/>
                <w:highlight w:val="yellow"/>
              </w:rPr>
              <w:t xml:space="preserve">directionalCollisionHandling-r16 </w:t>
            </w:r>
            <w:r>
              <w:rPr>
                <w:highlight w:val="yellow"/>
              </w:rPr>
              <w:t>= 'enable</w:t>
            </w:r>
            <w:r>
              <w:rPr>
                <w:highlight w:val="yellow"/>
                <w:lang w:val="en-US"/>
              </w:rPr>
              <w:t>d</w:t>
            </w:r>
            <w:r>
              <w:rPr>
                <w:highlight w:val="yellow"/>
              </w:rPr>
              <w:t>'</w:t>
            </w:r>
            <w:r>
              <w:rPr>
                <w:highlight w:val="yellow"/>
                <w:lang w:val="en-US"/>
              </w:rPr>
              <w:t xml:space="preserve"> </w:t>
            </w:r>
            <w:r>
              <w:rPr>
                <w:highlight w:val="yellow"/>
              </w:rPr>
              <w:t xml:space="preserve">for a set of serving cell(s) among the multiple serving cells, </w:t>
            </w:r>
            <w:r>
              <w:rPr>
                <w:rFonts w:eastAsia="DengXian"/>
                <w:highlight w:val="yellow"/>
                <w:lang w:val="en-US"/>
              </w:rPr>
              <w:t>and</w:t>
            </w:r>
          </w:p>
          <w:p w:rsidR="00313BA6" w:rsidRDefault="00C04F2F">
            <w:pPr>
              <w:pStyle w:val="B1"/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 xml:space="preserve">indicates support of </w:t>
            </w:r>
            <w:r>
              <w:rPr>
                <w:rFonts w:eastAsia="MS Mincho"/>
                <w:i/>
                <w:iCs/>
                <w:color w:val="000000"/>
                <w:highlight w:val="yellow"/>
              </w:rPr>
              <w:t xml:space="preserve">half-DuplexTDD-CA-SameSCS-r16 </w:t>
            </w:r>
            <w:r>
              <w:rPr>
                <w:rFonts w:eastAsia="MS Mincho"/>
                <w:color w:val="000000"/>
                <w:highlight w:val="yellow"/>
              </w:rPr>
              <w:t>capability</w:t>
            </w:r>
            <w:r>
              <w:rPr>
                <w:highlight w:val="yellow"/>
              </w:rPr>
              <w:t xml:space="preserve">, and </w:t>
            </w:r>
          </w:p>
          <w:p w:rsidR="00313BA6" w:rsidRDefault="00C04F2F">
            <w:pPr>
              <w:pStyle w:val="B1"/>
              <w:spacing w:after="0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 xml:space="preserve">is not configured to monitor PDCCH for detection of DCI format 2_0 </w:t>
            </w:r>
            <w:r>
              <w:rPr>
                <w:rFonts w:eastAsia="DengXian"/>
                <w:highlight w:val="yellow"/>
                <w:lang w:eastAsia="zh-CN"/>
              </w:rPr>
              <w:t>on any of the multiple serving cells,</w:t>
            </w:r>
          </w:p>
          <w:p w:rsidR="00313BA6" w:rsidRDefault="00C04F2F">
            <w:pPr>
              <w:spacing w:after="0"/>
            </w:pPr>
            <w:r>
              <w:t xml:space="preserve">for a set of symbols of a slot that are indicated to the UE for reception of SS/PBCH blocks in a first cell of the multiple serving cells by </w:t>
            </w:r>
            <w:r>
              <w:rPr>
                <w:i/>
                <w:iCs/>
              </w:rPr>
              <w:t>ssb-Positi</w:t>
            </w:r>
            <w:r>
              <w:rPr>
                <w:i/>
                <w:iCs/>
              </w:rPr>
              <w:t>onsInBurst</w:t>
            </w:r>
            <w:r>
              <w:t xml:space="preserve"> in </w:t>
            </w:r>
            <w:r>
              <w:rPr>
                <w:i/>
                <w:iCs/>
              </w:rPr>
              <w:t>SystemInformationBlockType1</w:t>
            </w:r>
            <w:r>
              <w:t xml:space="preserve"> or by </w:t>
            </w:r>
            <w:r>
              <w:rPr>
                <w:i/>
                <w:iCs/>
              </w:rPr>
              <w:t>ssb-PositionsInBurst</w:t>
            </w:r>
            <w:r>
              <w:t xml:space="preserve"> in </w:t>
            </w:r>
            <w:r>
              <w:rPr>
                <w:i/>
                <w:iCs/>
              </w:rPr>
              <w:t>ServingCellConfigCommon</w:t>
            </w:r>
            <w:r>
              <w:t xml:space="preserve"> </w:t>
            </w:r>
            <w:r>
              <w:rPr>
                <w:highlight w:val="yellow"/>
              </w:rPr>
              <w:t xml:space="preserve">or, if the UE is not provided </w:t>
            </w:r>
            <w:r>
              <w:rPr>
                <w:rFonts w:cs="Times"/>
                <w:i/>
                <w:szCs w:val="18"/>
                <w:highlight w:val="yellow"/>
                <w:lang w:eastAsia="zh-CN"/>
              </w:rPr>
              <w:t>dl-OrJointTCI-StateList</w:t>
            </w:r>
            <w:r>
              <w:rPr>
                <w:highlight w:val="yellow"/>
              </w:rPr>
              <w:t xml:space="preserve">, by </w:t>
            </w:r>
            <w:r>
              <w:rPr>
                <w:i/>
                <w:highlight w:val="yellow"/>
              </w:rPr>
              <w:t>ssb-PositionsInBurst</w:t>
            </w:r>
            <w:r>
              <w:rPr>
                <w:highlight w:val="yellow"/>
              </w:rPr>
              <w:t xml:space="preserve"> in </w:t>
            </w:r>
            <w:r>
              <w:rPr>
                <w:i/>
                <w:iCs/>
                <w:highlight w:val="yellow"/>
              </w:rPr>
              <w:t>SSB-MTCAdditionalPCI</w:t>
            </w:r>
            <w:r>
              <w:rPr>
                <w:highlight w:val="yellow"/>
              </w:rPr>
              <w:t xml:space="preserve"> associated to physical cell ID with active TCI states for</w:t>
            </w:r>
            <w:r>
              <w:rPr>
                <w:highlight w:val="yellow"/>
              </w:rPr>
              <w:t xml:space="preserve"> PDCCH or PDSCH,</w:t>
            </w:r>
            <w:r>
              <w:t xml:space="preserve"> or for a set of symbols of a slot corresponding to SS/PBCH blocks configured for L1 beam measurement/reporting, </w:t>
            </w:r>
            <w:r>
              <w:rPr>
                <w:highlight w:val="yellow"/>
              </w:rPr>
              <w:t>the UE does not transmit PUSCH,</w:t>
            </w:r>
            <w:r>
              <w:t xml:space="preserve"> PUCCH, or PRACH in the slot if a transmission would overlap with any symbol from the set of sym</w:t>
            </w:r>
            <w:r>
              <w:t xml:space="preserve">bols, and the UE does not transmit SRS in the set of symbols of the slot in </w:t>
            </w:r>
          </w:p>
          <w:p w:rsidR="00313BA6" w:rsidRDefault="00C04F2F">
            <w:pPr>
              <w:pStyle w:val="B1"/>
              <w:spacing w:after="0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any of the multiple serving cells</w:t>
            </w:r>
            <w:r>
              <w:t xml:space="preserve"> </w:t>
            </w:r>
            <w:r>
              <w:rPr>
                <w:lang w:val="en-US"/>
              </w:rPr>
              <w:t>if</w:t>
            </w:r>
            <w:r>
              <w:t xml:space="preserve"> the UE is </w:t>
            </w:r>
            <w:r>
              <w:rPr>
                <w:lang w:val="en-US"/>
              </w:rPr>
              <w:t xml:space="preserve">not </w:t>
            </w:r>
            <w:r>
              <w:t>capable of simultaneous transmission and reception</w:t>
            </w:r>
            <w:r>
              <w:rPr>
                <w:lang w:val="en-US"/>
              </w:rPr>
              <w:t xml:space="preserve"> as indicated</w:t>
            </w:r>
            <w:r>
              <w:t xml:space="preserve"> by </w:t>
            </w:r>
            <w:r>
              <w:rPr>
                <w:i/>
              </w:rPr>
              <w:t xml:space="preserve">simultaneousRxTxInterBandCA </w:t>
            </w:r>
            <w:r>
              <w:t>among the multiple serving cell</w:t>
            </w:r>
            <w:r>
              <w:t>s</w:t>
            </w:r>
            <w:r>
              <w:rPr>
                <w:lang w:val="en-US"/>
              </w:rPr>
              <w:t>, and</w:t>
            </w:r>
          </w:p>
          <w:p w:rsidR="00313BA6" w:rsidRDefault="00C04F2F">
            <w:pPr>
              <w:pStyle w:val="B1"/>
              <w:spacing w:after="0"/>
              <w:rPr>
                <w:lang w:val="en-US"/>
              </w:rPr>
            </w:pPr>
            <w:r>
              <w:t>-</w:t>
            </w:r>
            <w:r>
              <w:tab/>
              <w:t xml:space="preserve">any one of the cells corresponding to the same band as the first cell, irrespective of any capability indicated by </w:t>
            </w:r>
            <w:r>
              <w:rPr>
                <w:i/>
                <w:iCs/>
              </w:rPr>
              <w:t>simultaneousRxTxInterBandCA</w:t>
            </w:r>
            <w:r>
              <w:rPr>
                <w:lang w:val="en-US"/>
              </w:rPr>
              <w:t>.</w:t>
            </w:r>
          </w:p>
          <w:p w:rsidR="00313BA6" w:rsidRDefault="00313BA6">
            <w:pPr>
              <w:pStyle w:val="B1"/>
              <w:spacing w:after="0"/>
              <w:ind w:left="0" w:firstLine="0"/>
              <w:rPr>
                <w:lang w:val="en-US"/>
              </w:rPr>
            </w:pPr>
          </w:p>
          <w:p w:rsidR="00313BA6" w:rsidRDefault="00C04F2F">
            <w:pPr>
              <w:pStyle w:val="B1"/>
              <w:spacing w:after="0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[Text 2: the highlighted text below does not involve semi-static DL symbol or SSB, but triggers UE not</w:t>
            </w:r>
            <w:r>
              <w:rPr>
                <w:lang w:val="en-US"/>
              </w:rPr>
              <w:t xml:space="preserve"> to transmit CG-PUSCH.]</w:t>
            </w:r>
          </w:p>
          <w:p w:rsidR="00313BA6" w:rsidRDefault="00C04F2F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......</w:t>
            </w:r>
          </w:p>
          <w:p w:rsidR="00313BA6" w:rsidRDefault="00C04F2F">
            <w:pPr>
              <w:spacing w:after="0"/>
            </w:pPr>
            <w:r>
              <w:rPr>
                <w:lang w:eastAsia="fr-FR"/>
              </w:rPr>
              <w:t>and regardless of whether the reference cell and another cell operat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fr-FR"/>
              </w:rPr>
              <w:t xml:space="preserve"> in same or different frequency bands, </w:t>
            </w:r>
            <w:r>
              <w:t xml:space="preserve"> </w:t>
            </w:r>
          </w:p>
          <w:p w:rsidR="00313BA6" w:rsidRDefault="00C04F2F">
            <w:pPr>
              <w:spacing w:after="0"/>
            </w:pPr>
            <w:r>
              <w:t xml:space="preserve">the UE </w:t>
            </w:r>
          </w:p>
          <w:p w:rsidR="00313BA6" w:rsidRDefault="00C04F2F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does not expect </w:t>
            </w:r>
            <w:r>
              <w:rPr>
                <w:i/>
                <w:iCs/>
                <w:lang w:val="en-US"/>
              </w:rPr>
              <w:t>tdd-UL-DL-ConfigurationCommon</w:t>
            </w:r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tdd-UL-DL-ConfigurationDedicated</w:t>
            </w:r>
            <w:r>
              <w:rPr>
                <w:lang w:val="en-US"/>
              </w:rPr>
              <w:t xml:space="preserve"> for the reference cell </w:t>
            </w:r>
            <w:r>
              <w:rPr>
                <w:lang w:val="en-US"/>
              </w:rPr>
              <w:t xml:space="preserve">to indicate a symbol as uplink and to detect a DCI format </w:t>
            </w:r>
            <w:r>
              <w:rPr>
                <w:rStyle w:val="CommentReference"/>
                <w:sz w:val="20"/>
              </w:rPr>
              <w:t>scheduling</w:t>
            </w:r>
            <w:r>
              <w:rPr>
                <w:lang w:val="en-US"/>
              </w:rPr>
              <w:t xml:space="preserve"> a reception on the symbol on another cell</w:t>
            </w:r>
          </w:p>
          <w:p w:rsidR="00313BA6" w:rsidRDefault="00C04F2F">
            <w:pPr>
              <w:pStyle w:val="B1"/>
              <w:spacing w:after="0"/>
              <w:rPr>
                <w:lang w:val="en-US"/>
              </w:rPr>
            </w:pPr>
            <w:bookmarkStart w:id="2" w:name="_Hlk33186884"/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does not expect to be configured by higher layers to transmit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lang w:val="en-US"/>
              </w:rPr>
              <w:t xml:space="preserve">SRS, PUCCH, PUSCH, or PRACH on a flexible symbol on the reference cell and to </w:t>
            </w:r>
            <w:r>
              <w:rPr>
                <w:lang w:val="en-US"/>
              </w:rPr>
              <w:t xml:space="preserve">detect a DCI format scheduling a reception on the symbol </w:t>
            </w:r>
            <w:r>
              <w:rPr>
                <w:lang w:val="en-US"/>
              </w:rPr>
              <w:lastRenderedPageBreak/>
              <w:t>on another cell</w:t>
            </w:r>
          </w:p>
          <w:bookmarkEnd w:id="2"/>
          <w:p w:rsidR="00313BA6" w:rsidRDefault="00C04F2F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highlight w:val="yellow"/>
                <w:lang w:val="en-US"/>
              </w:rPr>
              <w:t>does not transmit a PUCCH, PUSCH or PRACH that is configured by higher layers</w:t>
            </w:r>
            <w:r>
              <w:rPr>
                <w:lang w:val="en-US"/>
              </w:rPr>
              <w:t xml:space="preserve"> on a set of symbols on another cell if at least one symbol from the set of symbols is indicated as down</w:t>
            </w:r>
            <w:r>
              <w:rPr>
                <w:lang w:val="en-US"/>
              </w:rPr>
              <w:t xml:space="preserve">link by </w:t>
            </w:r>
            <w:r>
              <w:rPr>
                <w:i/>
                <w:iCs/>
                <w:lang w:val="en-US"/>
              </w:rPr>
              <w:t>tdd-UL-DL-ConfigurationCommon</w:t>
            </w:r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tdd-UL-DL-ConfigurationDedicated</w:t>
            </w:r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or is a symbol corresponding to a PDCCH, PDSCH, or CSI-RS reception that is configured by higher layers on the reference cell </w:t>
            </w:r>
          </w:p>
        </w:tc>
      </w:tr>
    </w:tbl>
    <w:p w:rsidR="00313BA6" w:rsidRDefault="00313BA6">
      <w:pPr>
        <w:spacing w:after="120" w:line="240" w:lineRule="auto"/>
        <w:jc w:val="both"/>
        <w:rPr>
          <w:rFonts w:eastAsiaTheme="minorEastAsia"/>
        </w:rPr>
      </w:pPr>
    </w:p>
    <w:p w:rsidR="00313BA6" w:rsidRDefault="00C04F2F">
      <w:p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>What’s more, the current texts in clause 11.1 of TS38</w:t>
      </w:r>
      <w:r>
        <w:rPr>
          <w:rFonts w:eastAsiaTheme="minorEastAsia"/>
        </w:rPr>
        <w:t xml:space="preserve">.213 also contain the cases of “canceling PUSCH transmission” due to various conditions, even including the dynamic conditions, for example,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313BA6">
        <w:tc>
          <w:tcPr>
            <w:tcW w:w="9286" w:type="dxa"/>
          </w:tcPr>
          <w:p w:rsidR="00313BA6" w:rsidRDefault="00C04F2F">
            <w:r>
              <w:t>[Text 3: the highlighted text below does not involve semi-static DL symbol or SSB, but triggers UE to cancel CG-PU</w:t>
            </w:r>
            <w:r>
              <w:t xml:space="preserve">SCH transmission (i.e., not to transmit CG-PUSCH) based on a dynamic condition on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proc,2 </m:t>
                  </m:r>
                </m:sub>
              </m:sSub>
            </m:oMath>
            <w:r>
              <w:t xml:space="preserve">] </w:t>
            </w:r>
          </w:p>
          <w:p w:rsidR="00313BA6" w:rsidRDefault="00C04F2F">
            <w:r>
              <w:t xml:space="preserve">For </w:t>
            </w:r>
            <w:r>
              <w:rPr>
                <w:lang w:val="fi-FI"/>
              </w:rPr>
              <w:t xml:space="preserve">operation on a single carrier in unpaired spectrum, </w:t>
            </w:r>
            <w:r>
              <w:rPr>
                <w:highlight w:val="yellow"/>
              </w:rPr>
              <w:t>if a UE is configured by higher layers to transmit SRS, or PUCCH, or PUSCH, or PRACH in a set of symb</w:t>
            </w:r>
            <w:r>
              <w:rPr>
                <w:highlight w:val="yellow"/>
              </w:rPr>
              <w:t>ols of a slot and the UE detects a DCI format indicating to the UE to receive CSI-RS or PDSCH in a subset of symbols from the set of symbols</w:t>
            </w:r>
            <w:r>
              <w:t xml:space="preserve">, then </w:t>
            </w:r>
          </w:p>
          <w:p w:rsidR="00313BA6" w:rsidRDefault="00C04F2F">
            <w:pPr>
              <w:pStyle w:val="B1"/>
              <w:rPr>
                <w:rFonts w:eastAsiaTheme="minorEastAsia"/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If the UE does not indicate the capability of [partialCancellation], </w:t>
            </w:r>
            <w:r>
              <w:rPr>
                <w:rFonts w:hint="eastAsia"/>
              </w:rPr>
              <w:t xml:space="preserve">the UE does not expect to cancel the </w:t>
            </w:r>
            <w:r>
              <w:rPr>
                <w:rFonts w:hint="eastAsia"/>
              </w:rPr>
              <w:t xml:space="preserve">transmission </w:t>
            </w:r>
            <w:r>
              <w:rPr>
                <w:lang w:val="en-US"/>
              </w:rPr>
              <w:t xml:space="preserve">of the PUCCH or PUSCH or PRACH </w:t>
            </w:r>
            <w:r>
              <w:rPr>
                <w:rFonts w:hint="eastAsia"/>
              </w:rPr>
              <w:t>in</w:t>
            </w:r>
            <w:r>
              <w:rPr>
                <w:lang w:val="en-US"/>
              </w:rPr>
              <w:t xml:space="preserve"> the set of symbols </w:t>
            </w:r>
            <w:r>
              <w:rPr>
                <w:highlight w:val="yellow"/>
                <w:lang w:val="en-US"/>
              </w:rPr>
              <w:t>if the first symbol in the set</w:t>
            </w:r>
            <w:r>
              <w:rPr>
                <w:rFonts w:hint="eastAsia"/>
                <w:highlight w:val="yellow"/>
              </w:rPr>
              <w:t xml:space="preserve"> occur</w:t>
            </w:r>
            <w:r>
              <w:rPr>
                <w:highlight w:val="yellow"/>
                <w:lang w:val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 xml:space="preserve">proc,2 </m:t>
                  </m:r>
                </m:sub>
              </m:sSub>
            </m:oMath>
            <w:r>
              <w:rPr>
                <w:rFonts w:hint="eastAsia"/>
                <w:highlight w:val="yellow"/>
              </w:rPr>
              <w:t xml:space="preserve"> relative to a last symbol of a CORESET</w:t>
            </w:r>
            <w:r>
              <w:rPr>
                <w:rFonts w:hint="eastAsia"/>
              </w:rPr>
              <w:t xml:space="preserve"> where the UE detects the DCI format</w:t>
            </w:r>
            <w:r>
              <w:rPr>
                <w:lang w:val="en-US"/>
              </w:rPr>
              <w:t xml:space="preserve">; </w:t>
            </w:r>
            <w:r>
              <w:rPr>
                <w:highlight w:val="yellow"/>
                <w:lang w:val="en-US"/>
              </w:rPr>
              <w:t>otherwise, the UE cancels the PUCCH, or the PUSCH, or a</w:t>
            </w:r>
            <w:r>
              <w:rPr>
                <w:highlight w:val="yellow"/>
                <w:lang w:val="en-US"/>
              </w:rPr>
              <w:t>n actual repetition of the PUSCH [6, TS 38.214], determined from clauses 9, 9.2.5 and 9.2.6 or clause 6.1 of [6, TS 38.214], or the PRACH transmission in the set of symbols.</w:t>
            </w:r>
          </w:p>
        </w:tc>
      </w:tr>
    </w:tbl>
    <w:p w:rsidR="00313BA6" w:rsidRDefault="00313BA6">
      <w:pPr>
        <w:spacing w:after="120" w:line="240" w:lineRule="auto"/>
        <w:jc w:val="both"/>
        <w:rPr>
          <w:rFonts w:eastAsiaTheme="minorEastAsia"/>
        </w:rPr>
      </w:pPr>
    </w:p>
    <w:p w:rsidR="00313BA6" w:rsidRDefault="00C04F2F">
      <w:pPr>
        <w:spacing w:after="120" w:line="240" w:lineRule="auto"/>
        <w:jc w:val="both"/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 2: RAN1 discusses further the misalignment between RAN1 agreement and T</w:t>
      </w:r>
      <w:r>
        <w:rPr>
          <w:rFonts w:eastAsiaTheme="minorEastAsia"/>
          <w:b/>
          <w:bCs/>
          <w:i/>
          <w:iCs/>
        </w:rPr>
        <w:t xml:space="preserve">S38.213 CR for the definition of “invalid CG-PUSCH TO”. </w:t>
      </w:r>
    </w:p>
    <w:p w:rsidR="00313BA6" w:rsidRDefault="00C04F2F">
      <w:pPr>
        <w:numPr>
          <w:ilvl w:val="0"/>
          <w:numId w:val="13"/>
        </w:numPr>
        <w:tabs>
          <w:tab w:val="clear" w:pos="420"/>
          <w:tab w:val="left" w:pos="800"/>
        </w:tabs>
        <w:spacing w:after="120" w:line="240" w:lineRule="auto"/>
        <w:ind w:left="800"/>
        <w:jc w:val="both"/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 xml:space="preserve">Our preference is to revise the current TS38.213 CR to align with RAN1 agreement, or to at least avoid making it depending on a dynamic condition. </w:t>
      </w:r>
    </w:p>
    <w:p w:rsidR="00313BA6" w:rsidRDefault="00313BA6">
      <w:pPr>
        <w:spacing w:after="120" w:line="240" w:lineRule="auto"/>
        <w:jc w:val="both"/>
        <w:rPr>
          <w:rFonts w:eastAsiaTheme="minorEastAsia"/>
        </w:rPr>
      </w:pPr>
    </w:p>
    <w:p w:rsidR="00313BA6" w:rsidRDefault="00C04F2F">
      <w:pPr>
        <w:spacing w:after="120" w:line="240" w:lineRule="auto"/>
        <w:jc w:val="both"/>
        <w:rPr>
          <w:rFonts w:ascii="Times" w:eastAsia="Batang" w:hAnsi="Times"/>
          <w:b/>
          <w:bCs/>
          <w:i/>
          <w:iCs/>
          <w:color w:val="000000"/>
          <w:u w:val="single"/>
        </w:rPr>
      </w:pPr>
      <w:r>
        <w:rPr>
          <w:rFonts w:ascii="Times" w:eastAsia="Batang" w:hAnsi="Times"/>
          <w:b/>
          <w:bCs/>
          <w:i/>
          <w:iCs/>
          <w:color w:val="000000"/>
          <w:u w:val="single"/>
        </w:rPr>
        <w:t xml:space="preserve">Issue #3: </w:t>
      </w:r>
    </w:p>
    <w:p w:rsidR="00313BA6" w:rsidRDefault="00C04F2F">
      <w:pPr>
        <w:spacing w:after="120" w:line="240" w:lineRule="auto"/>
        <w:jc w:val="both"/>
        <w:rPr>
          <w:rFonts w:eastAsia="Batang"/>
          <w:bCs/>
          <w:szCs w:val="16"/>
          <w:lang w:eastAsia="ja-JP"/>
        </w:rPr>
      </w:pPr>
      <w:r>
        <w:rPr>
          <w:rFonts w:eastAsiaTheme="minorEastAsia"/>
        </w:rPr>
        <w:t xml:space="preserve">When 16 HARQ processes are configured </w:t>
      </w:r>
      <w:r>
        <w:rPr>
          <w:rFonts w:eastAsiaTheme="minorEastAsia"/>
        </w:rPr>
        <w:t>to a UE and more than 16</w:t>
      </w:r>
      <w:r>
        <w:rPr>
          <w:rFonts w:eastAsia="Batang"/>
          <w:bCs/>
          <w:szCs w:val="16"/>
          <w:lang w:eastAsia="ja-JP"/>
        </w:rPr>
        <w:t xml:space="preserve"> consecutive slots are configured in one period for a multi-PUSCH CG configuration, it means </w:t>
      </w:r>
      <w:r>
        <w:rPr>
          <w:rFonts w:eastAsia="Batang"/>
          <w:bCs/>
          <w:szCs w:val="16"/>
          <w:lang w:eastAsia="ja-JP"/>
        </w:rPr>
        <w:t>at least two</w:t>
      </w:r>
      <w:r>
        <w:rPr>
          <w:rFonts w:eastAsia="Batang"/>
          <w:bCs/>
          <w:szCs w:val="16"/>
          <w:lang w:eastAsia="ja-JP"/>
        </w:rPr>
        <w:t xml:space="preserve"> CG PUSCH TOs in one period are associated with the same HARQ process ID. On the other hand, based on RAN 2 spe</w:t>
      </w:r>
      <w:r>
        <w:rPr>
          <w:rFonts w:eastAsia="Batang"/>
          <w:bCs/>
          <w:szCs w:val="16"/>
          <w:lang w:eastAsia="ja-JP"/>
        </w:rPr>
        <w:t>cification (copi</w:t>
      </w:r>
      <w:r>
        <w:rPr>
          <w:rFonts w:eastAsia="Batang"/>
          <w:bCs/>
          <w:szCs w:val="16"/>
          <w:lang w:eastAsia="ja-JP"/>
        </w:rPr>
        <w:t>ed to Annex for reference)</w:t>
      </w:r>
      <w:r>
        <w:rPr>
          <w:rFonts w:eastAsia="Batang"/>
          <w:bCs/>
          <w:szCs w:val="16"/>
          <w:lang w:eastAsia="ja-JP"/>
        </w:rPr>
        <w:t>, the HARQ process cannot be reused before</w:t>
      </w:r>
      <w:bookmarkStart w:id="3" w:name="_Hlk146180432"/>
      <w:r>
        <w:rPr>
          <w:rFonts w:eastAsia="Batang"/>
          <w:bCs/>
          <w:szCs w:val="16"/>
          <w:lang w:eastAsia="ja-JP"/>
        </w:rPr>
        <w:t xml:space="preserve"> the </w:t>
      </w:r>
      <w:r>
        <w:rPr>
          <w:lang w:eastAsia="ko-KR"/>
        </w:rPr>
        <w:t>corresponding</w:t>
      </w:r>
      <w:r>
        <w:rPr>
          <w:rFonts w:eastAsia="Batang"/>
          <w:bCs/>
          <w:szCs w:val="16"/>
          <w:lang w:eastAsia="ja-JP"/>
        </w:rPr>
        <w:t xml:space="preserve"> </w:t>
      </w:r>
      <w:r>
        <w:rPr>
          <w:i/>
          <w:lang w:eastAsia="ko-KR"/>
        </w:rPr>
        <w:t>configuredGrantTimer</w:t>
      </w:r>
      <w:bookmarkEnd w:id="3"/>
      <w:r>
        <w:rPr>
          <w:i/>
          <w:lang w:eastAsia="ko-KR"/>
        </w:rPr>
        <w:t xml:space="preserve"> </w:t>
      </w:r>
      <w:r>
        <w:t xml:space="preserve">expires, where the configured grant timer </w:t>
      </w:r>
      <w:r>
        <w:t xml:space="preserve">is </w:t>
      </w:r>
      <w:r>
        <w:t>in multiples of CG periodicity. Therefore, if more than one vaild CG PUSCH TOs</w:t>
      </w:r>
      <w:r>
        <w:rPr>
          <w:rFonts w:eastAsia="Batang"/>
          <w:bCs/>
          <w:szCs w:val="16"/>
          <w:lang w:eastAsia="ja-JP"/>
        </w:rPr>
        <w:t xml:space="preserve"> are associated with the </w:t>
      </w:r>
      <w:r>
        <w:rPr>
          <w:rFonts w:eastAsia="Batang"/>
          <w:bCs/>
          <w:szCs w:val="16"/>
          <w:lang w:eastAsia="ja-JP"/>
        </w:rPr>
        <w:t>same HARQ process ID, as shown in Figure 1</w:t>
      </w:r>
      <w:r>
        <w:rPr>
          <w:rFonts w:eastAsia="Batang"/>
          <w:bCs/>
          <w:szCs w:val="16"/>
          <w:lang w:eastAsia="ja-JP"/>
        </w:rPr>
        <w:t xml:space="preserve">, </w:t>
      </w:r>
      <w:r>
        <w:rPr>
          <w:rFonts w:eastAsia="Batang"/>
          <w:bCs/>
          <w:szCs w:val="16"/>
          <w:lang w:eastAsia="ja-JP"/>
        </w:rPr>
        <w:t xml:space="preserve">the later TO(s) </w:t>
      </w:r>
      <w:r>
        <w:rPr>
          <w:rFonts w:eastAsia="Batang"/>
          <w:bCs/>
          <w:szCs w:val="16"/>
          <w:lang w:eastAsia="ja-JP"/>
        </w:rPr>
        <w:t>having the same HPID may</w:t>
      </w:r>
      <w:r>
        <w:rPr>
          <w:rFonts w:eastAsia="Batang"/>
          <w:bCs/>
          <w:szCs w:val="16"/>
          <w:lang w:eastAsia="ja-JP"/>
        </w:rPr>
        <w:t xml:space="preserve"> not </w:t>
      </w:r>
      <w:r>
        <w:rPr>
          <w:rFonts w:eastAsia="Batang"/>
          <w:bCs/>
          <w:szCs w:val="16"/>
          <w:lang w:eastAsia="ja-JP"/>
        </w:rPr>
        <w:t xml:space="preserve">be </w:t>
      </w:r>
      <w:r>
        <w:rPr>
          <w:rFonts w:eastAsia="Batang"/>
          <w:bCs/>
          <w:szCs w:val="16"/>
          <w:lang w:eastAsia="ja-JP"/>
        </w:rPr>
        <w:t xml:space="preserve">used for transmission. </w:t>
      </w:r>
    </w:p>
    <w:p w:rsidR="00313BA6" w:rsidRDefault="00313BA6">
      <w:pPr>
        <w:spacing w:after="120" w:line="240" w:lineRule="auto"/>
        <w:jc w:val="both"/>
      </w:pPr>
      <w:r w:rsidRPr="00313BA6">
        <w:object w:dxaOrig="18269" w:dyaOrig="4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17.75pt" o:ole="">
            <v:imagedata r:id="rId7" o:title=""/>
          </v:shape>
          <o:OLEObject Type="Embed" ProgID="Visio.Drawing.15" ShapeID="_x0000_i1025" DrawAspect="Content" ObjectID="_1757377868" r:id="rId8"/>
        </w:object>
      </w:r>
    </w:p>
    <w:p w:rsidR="00313BA6" w:rsidRDefault="00C04F2F">
      <w:pPr>
        <w:spacing w:after="120" w:line="240" w:lineRule="auto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1: One example of a multi-PUSCH CG configuration</w:t>
      </w:r>
    </w:p>
    <w:p w:rsidR="00313BA6" w:rsidRDefault="00C04F2F">
      <w:pPr>
        <w:spacing w:after="120" w:line="240" w:lineRule="auto"/>
        <w:rPr>
          <w:rFonts w:eastAsiaTheme="minorEastAsia"/>
          <w:lang w:eastAsia="zh-CN"/>
        </w:rPr>
      </w:pPr>
      <w:r>
        <w:rPr>
          <w:rFonts w:eastAsia="Batang"/>
          <w:bCs/>
          <w:szCs w:val="16"/>
          <w:lang w:eastAsia="ja-JP"/>
        </w:rPr>
        <w:t xml:space="preserve">To avoid configuring redundant TO(s), we have the </w:t>
      </w:r>
      <w:r>
        <w:rPr>
          <w:rFonts w:eastAsia="Batang"/>
          <w:bCs/>
          <w:szCs w:val="16"/>
          <w:lang w:eastAsia="ja-JP"/>
        </w:rPr>
        <w:t>following proposals:</w:t>
      </w:r>
    </w:p>
    <w:p w:rsidR="00313BA6" w:rsidRDefault="00C04F2F">
      <w:pPr>
        <w:spacing w:after="120" w:line="240" w:lineRule="auto"/>
        <w:jc w:val="both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3: </w:t>
      </w:r>
      <w:r>
        <w:rPr>
          <w:rFonts w:eastAsiaTheme="minorEastAsia"/>
          <w:b/>
          <w:i/>
          <w:szCs w:val="20"/>
          <w:lang w:eastAsia="zh-CN"/>
        </w:rPr>
        <w:t>A UE doesn’t</w:t>
      </w:r>
      <w:r>
        <w:t xml:space="preserve"> </w:t>
      </w:r>
      <w:r>
        <w:rPr>
          <w:rFonts w:eastAsiaTheme="minorEastAsia"/>
          <w:b/>
          <w:i/>
          <w:szCs w:val="20"/>
          <w:lang w:eastAsia="zh-CN"/>
        </w:rPr>
        <w:t xml:space="preserve">expect </w:t>
      </w:r>
      <w:r>
        <w:rPr>
          <w:rFonts w:eastAsiaTheme="minorEastAsia"/>
          <w:b/>
          <w:i/>
          <w:szCs w:val="20"/>
          <w:lang w:eastAsia="zh-CN"/>
        </w:rPr>
        <w:t>to be configured in such a way that two or more</w:t>
      </w:r>
      <w:r>
        <w:rPr>
          <w:rFonts w:eastAsiaTheme="minorEastAsia"/>
          <w:b/>
          <w:i/>
          <w:szCs w:val="20"/>
          <w:lang w:eastAsia="zh-CN"/>
        </w:rPr>
        <w:t xml:space="preserve"> valid TOs in one period are</w:t>
      </w:r>
      <w:r>
        <w:t xml:space="preserve"> </w:t>
      </w:r>
      <w:r>
        <w:rPr>
          <w:rFonts w:eastAsiaTheme="minorEastAsia"/>
          <w:b/>
          <w:i/>
          <w:szCs w:val="20"/>
          <w:lang w:eastAsia="zh-CN"/>
        </w:rPr>
        <w:t>associated with the same HARQ process ID.</w:t>
      </w:r>
    </w:p>
    <w:p w:rsidR="00313BA6" w:rsidRDefault="00313BA6">
      <w:pPr>
        <w:spacing w:after="120" w:line="240" w:lineRule="auto"/>
        <w:jc w:val="both"/>
        <w:rPr>
          <w:rFonts w:eastAsiaTheme="minorEastAsia"/>
          <w:b/>
          <w:i/>
          <w:szCs w:val="20"/>
          <w:lang w:eastAsia="zh-CN"/>
        </w:rPr>
      </w:pPr>
    </w:p>
    <w:p w:rsidR="00313BA6" w:rsidRDefault="00C04F2F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Conclusions</w:t>
      </w:r>
    </w:p>
    <w:p w:rsidR="00313BA6" w:rsidRDefault="00C04F2F" w:rsidP="00781B69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 xml:space="preserve">In this contribution, we discuss the </w:t>
      </w:r>
      <w:r>
        <w:t xml:space="preserve">CG PUSCH </w:t>
      </w:r>
      <w:r>
        <w:rPr>
          <w:rFonts w:eastAsia="SimSun"/>
          <w:lang w:eastAsia="zh-CN"/>
        </w:rPr>
        <w:t>enhancement for supporti</w:t>
      </w:r>
      <w:r>
        <w:rPr>
          <w:rFonts w:eastAsia="SimSun"/>
          <w:lang w:eastAsia="zh-CN"/>
        </w:rPr>
        <w:t xml:space="preserve">ng XR services with </w:t>
      </w:r>
      <w:r>
        <w:rPr>
          <w:rFonts w:eastAsia="SimSun"/>
          <w:iCs/>
          <w:szCs w:val="20"/>
          <w:lang w:eastAsia="zh-CN"/>
        </w:rPr>
        <w:t>following proposals:</w:t>
      </w:r>
    </w:p>
    <w:p w:rsidR="00313BA6" w:rsidRDefault="00C04F2F">
      <w:p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1: Support Option 2, i.e. introduce a new capability to indicated maximum number of multi-PUSCH CG configurations (at least 2) per BWP of a serving cell and across all serving cells. The maximum number shou</w:t>
      </w:r>
      <w:r>
        <w:rPr>
          <w:rFonts w:eastAsiaTheme="minorEastAsia"/>
          <w:b/>
          <w:i/>
        </w:rPr>
        <w:t>ld not exceed the corresponding maximum number of CG configurations indicated by FG 11-9.</w:t>
      </w:r>
    </w:p>
    <w:p w:rsidR="00313BA6" w:rsidRDefault="00C04F2F">
      <w:pPr>
        <w:spacing w:after="120" w:line="240" w:lineRule="auto"/>
        <w:jc w:val="both"/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 xml:space="preserve">Proposal 2: RAN1 discusses further the misalignment between RAN1 agreement and TS38.213 CR for the definition of “invalid CG-PUSCH TO”. </w:t>
      </w:r>
    </w:p>
    <w:p w:rsidR="00313BA6" w:rsidRDefault="00C04F2F">
      <w:pPr>
        <w:numPr>
          <w:ilvl w:val="0"/>
          <w:numId w:val="13"/>
        </w:numPr>
        <w:tabs>
          <w:tab w:val="clear" w:pos="420"/>
          <w:tab w:val="left" w:pos="800"/>
        </w:tabs>
        <w:spacing w:after="120" w:line="240" w:lineRule="auto"/>
        <w:ind w:left="800"/>
        <w:jc w:val="both"/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 xml:space="preserve">Our preference is to revise the current TS38.213 CR to align with RAN1 agreement, or to at least avoid making it depending on a dynamic condition. </w:t>
      </w:r>
    </w:p>
    <w:p w:rsidR="00313BA6" w:rsidRDefault="00C04F2F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3: </w:t>
      </w:r>
      <w:r>
        <w:rPr>
          <w:rFonts w:eastAsiaTheme="minorEastAsia"/>
          <w:b/>
          <w:i/>
          <w:szCs w:val="20"/>
          <w:lang w:eastAsia="zh-CN"/>
        </w:rPr>
        <w:t>A UE doesn’t</w:t>
      </w:r>
      <w:r>
        <w:t xml:space="preserve"> </w:t>
      </w:r>
      <w:r>
        <w:rPr>
          <w:rFonts w:eastAsiaTheme="minorEastAsia"/>
          <w:b/>
          <w:i/>
          <w:szCs w:val="20"/>
          <w:lang w:eastAsia="zh-CN"/>
        </w:rPr>
        <w:t xml:space="preserve">expect </w:t>
      </w:r>
      <w:r>
        <w:rPr>
          <w:rFonts w:eastAsiaTheme="minorEastAsia"/>
          <w:b/>
          <w:i/>
          <w:szCs w:val="20"/>
          <w:lang w:eastAsia="zh-CN"/>
        </w:rPr>
        <w:t>to be configured in such a way that two or more</w:t>
      </w:r>
      <w:r>
        <w:rPr>
          <w:rFonts w:eastAsiaTheme="minorEastAsia"/>
          <w:b/>
          <w:i/>
          <w:szCs w:val="20"/>
          <w:lang w:eastAsia="zh-CN"/>
        </w:rPr>
        <w:t xml:space="preserve"> valid TOs in one period are</w:t>
      </w:r>
      <w:r>
        <w:t xml:space="preserve"> </w:t>
      </w:r>
      <w:r>
        <w:rPr>
          <w:rFonts w:eastAsiaTheme="minorEastAsia"/>
          <w:b/>
          <w:i/>
          <w:szCs w:val="20"/>
          <w:lang w:eastAsia="zh-CN"/>
        </w:rPr>
        <w:t>associated with the same HARQ process ID.</w:t>
      </w:r>
      <w:bookmarkStart w:id="4" w:name="_GoBack"/>
      <w:bookmarkEnd w:id="4"/>
    </w:p>
    <w:p w:rsidR="00313BA6" w:rsidRDefault="00313BA6">
      <w:pPr>
        <w:spacing w:after="120" w:line="240" w:lineRule="auto"/>
        <w:jc w:val="both"/>
        <w:rPr>
          <w:rFonts w:eastAsiaTheme="minorEastAsia"/>
          <w:b/>
          <w:i/>
          <w:lang w:eastAsia="zh-CN"/>
        </w:rPr>
      </w:pPr>
    </w:p>
    <w:p w:rsidR="00313BA6" w:rsidRDefault="00C04F2F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eastAsiaTheme="minorEastAsia"/>
          <w:i/>
        </w:rPr>
        <w:t xml:space="preserve"> </w:t>
      </w:r>
      <w:r>
        <w:rPr>
          <w:rFonts w:ascii="Times New Roman" w:hAnsi="Times New Roman" w:cs="Times New Roman"/>
        </w:rPr>
        <w:t>References</w:t>
      </w:r>
    </w:p>
    <w:p w:rsidR="00313BA6" w:rsidRDefault="00C04F2F">
      <w:pPr>
        <w:pStyle w:val="ListParagraph"/>
        <w:numPr>
          <w:ilvl w:val="0"/>
          <w:numId w:val="14"/>
        </w:numPr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R1-2308334</w:t>
      </w:r>
      <w:r>
        <w:rPr>
          <w:rFonts w:cs="Times New Roman" w:hint="eastAsia"/>
          <w:color w:val="000000"/>
          <w:szCs w:val="24"/>
        </w:rPr>
        <w:t>,</w:t>
      </w:r>
      <w:r>
        <w:rPr>
          <w:rFonts w:cs="Times New Roman"/>
          <w:color w:val="000000"/>
          <w:szCs w:val="24"/>
        </w:rPr>
        <w:t xml:space="preserve"> “</w:t>
      </w:r>
      <w:r>
        <w:t>Moderator Summary#4 - XR Specific Enhancements</w:t>
      </w:r>
      <w:r>
        <w:rPr>
          <w:rFonts w:cs="Times New Roman"/>
          <w:color w:val="000000"/>
          <w:szCs w:val="24"/>
        </w:rPr>
        <w:t xml:space="preserve">”, </w:t>
      </w:r>
      <w:r>
        <w:t>Moderator (Ericsson)</w:t>
      </w:r>
    </w:p>
    <w:p w:rsidR="00313BA6" w:rsidRDefault="00C04F2F">
      <w:pPr>
        <w:rPr>
          <w:color w:val="000000"/>
        </w:rPr>
      </w:pPr>
      <w:r>
        <w:rPr>
          <w:color w:val="000000"/>
        </w:rPr>
        <w:br w:type="page"/>
      </w:r>
    </w:p>
    <w:p w:rsidR="00313BA6" w:rsidRDefault="00C04F2F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eastAsiaTheme="minorEastAsia"/>
          <w:i/>
        </w:rPr>
        <w:lastRenderedPageBreak/>
        <w:t xml:space="preserve"> </w:t>
      </w:r>
      <w:r>
        <w:rPr>
          <w:rFonts w:ascii="Times New Roman" w:hAnsi="Times New Roman" w:cs="Times New Roman"/>
        </w:rPr>
        <w:t>Annex</w:t>
      </w:r>
    </w:p>
    <w:p w:rsidR="00313BA6" w:rsidRDefault="00313BA6">
      <w:pPr>
        <w:rPr>
          <w:color w:val="000000"/>
        </w:rPr>
      </w:pPr>
    </w:p>
    <w:tbl>
      <w:tblPr>
        <w:tblStyle w:val="TableGrid"/>
        <w:tblW w:w="0" w:type="auto"/>
        <w:tblLook w:val="04A0"/>
      </w:tblPr>
      <w:tblGrid>
        <w:gridCol w:w="9060"/>
      </w:tblGrid>
      <w:tr w:rsidR="00313BA6">
        <w:tc>
          <w:tcPr>
            <w:tcW w:w="9060" w:type="dxa"/>
          </w:tcPr>
          <w:p w:rsidR="00313BA6" w:rsidRDefault="00C04F2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 38.321</w:t>
            </w:r>
            <w:r>
              <w:rPr>
                <w:rFonts w:eastAsiaTheme="minorEastAsia"/>
                <w:lang w:eastAsia="zh-CN"/>
              </w:rPr>
              <w:t xml:space="preserve"> text: </w:t>
            </w:r>
          </w:p>
          <w:p w:rsidR="00313BA6" w:rsidRDefault="00C04F2F">
            <w:pPr>
              <w:rPr>
                <w:lang w:eastAsia="ko-KR"/>
              </w:rPr>
            </w:pPr>
            <w:r>
              <w:rPr>
                <w:lang w:eastAsia="ko-KR"/>
              </w:rPr>
              <w:t>5.4.1</w:t>
            </w:r>
            <w:r>
              <w:rPr>
                <w:lang w:eastAsia="ko-KR"/>
              </w:rPr>
              <w:tab/>
              <w:t>UL Grant reception</w:t>
            </w:r>
          </w:p>
          <w:p w:rsidR="00313BA6" w:rsidRDefault="00C04F2F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For each Serving Cell and each configured uplink grant, if </w:t>
            </w:r>
            <w:r>
              <w:rPr>
                <w:lang w:eastAsia="ko-KR"/>
              </w:rPr>
              <w:t>configured and activated, the MAC entity shall:</w:t>
            </w:r>
          </w:p>
          <w:p w:rsidR="00313BA6" w:rsidRDefault="00C04F2F">
            <w:pPr>
              <w:pStyle w:val="B1"/>
              <w:rPr>
                <w:rFonts w:eastAsia="Malgun Gothic"/>
              </w:rPr>
            </w:pPr>
            <w:r>
              <w:t>1&gt;</w:t>
            </w:r>
            <w:r>
              <w:tab/>
              <w:t xml:space="preserve">if the MAC entity is configured with </w:t>
            </w:r>
            <w:r>
              <w:rPr>
                <w:i/>
              </w:rPr>
              <w:t>lch-basedPrioritization</w:t>
            </w:r>
            <w:r>
              <w:t>, and the PUSCH duration of the configured uplink grant does not overlap with the PUSCH duration of an uplink grant received in a Random Access R</w:t>
            </w:r>
            <w:r>
              <w:t>esponse or with the PUSCH duration of an uplink grant addressed to Temporary C-RNTI or the PUSCH duration of a MSGA payload for this Serving Cell; or</w:t>
            </w:r>
          </w:p>
          <w:p w:rsidR="00313BA6" w:rsidRDefault="00C04F2F">
            <w:pPr>
              <w:pStyle w:val="B1"/>
            </w:pPr>
            <w:r>
              <w:t>1&gt;</w:t>
            </w:r>
            <w:r>
              <w:tab/>
              <w:t xml:space="preserve">if the MAC entity is not configured with </w:t>
            </w:r>
            <w:r>
              <w:rPr>
                <w:i/>
                <w:iCs/>
              </w:rPr>
              <w:t>lch-basedPrioritization</w:t>
            </w:r>
            <w:r>
              <w:t>, and the PUSCH duration of the configu</w:t>
            </w:r>
            <w:r>
              <w:t>red uplink grant does not overlap with the PUSCH duration of an uplink grant received on the PDCCH or in a Random Access Response or the PUSCH duration of a MSGA payload for this Serving Cell:</w:t>
            </w:r>
          </w:p>
          <w:p w:rsidR="00313BA6" w:rsidRDefault="00C04F2F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set the HARQ Process ID to the HARQ Process ID associated wi</w:t>
            </w:r>
            <w:r>
              <w:rPr>
                <w:lang w:eastAsia="ko-KR"/>
              </w:rPr>
              <w:t>th this PUSCH duration;</w:t>
            </w:r>
          </w:p>
          <w:p w:rsidR="00313BA6" w:rsidRDefault="00C04F2F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 xml:space="preserve">if, for the corresponding HARQ process, the </w:t>
            </w:r>
            <w:r>
              <w:rPr>
                <w:i/>
                <w:highlight w:val="yellow"/>
                <w:lang w:eastAsia="ko-KR"/>
              </w:rPr>
              <w:t>configuredGrantTimer</w:t>
            </w:r>
            <w:r>
              <w:rPr>
                <w:highlight w:val="yellow"/>
                <w:lang w:eastAsia="ko-KR"/>
              </w:rPr>
              <w:t xml:space="preserve"> is not running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lang w:eastAsia="ko-KR"/>
              </w:rPr>
              <w:t>cg-RetransmissionTimer</w:t>
            </w:r>
            <w:r>
              <w:t xml:space="preserve"> is not configured and </w:t>
            </w:r>
            <w:r>
              <w:rPr>
                <w:i/>
              </w:rPr>
              <w:t>cg-SDT-RetransmissionTimer</w:t>
            </w:r>
            <w:r>
              <w:rPr>
                <w:iCs/>
              </w:rPr>
              <w:t xml:space="preserve"> </w:t>
            </w:r>
            <w:r>
              <w:t>is not configured</w:t>
            </w:r>
            <w:r>
              <w:rPr>
                <w:lang w:eastAsia="ko-KR"/>
              </w:rPr>
              <w:t xml:space="preserve"> (i.e. new transmission):</w:t>
            </w:r>
          </w:p>
          <w:p w:rsidR="00313BA6" w:rsidRDefault="00C04F2F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there is an on-going CG-</w:t>
            </w:r>
            <w:r>
              <w:rPr>
                <w:lang w:eastAsia="ko-KR"/>
              </w:rPr>
              <w:t>SDT procedure and PDCCH addressed to the MAC entity's C-RNTI has been received; or</w:t>
            </w:r>
          </w:p>
          <w:p w:rsidR="00313BA6" w:rsidRDefault="00C04F2F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there is no on-going CG-SDT procedure:</w:t>
            </w:r>
          </w:p>
          <w:p w:rsidR="00313BA6" w:rsidRDefault="00C04F2F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  <w:t>consider the NDI bit for the corresponding HARQ process to have been toggled;</w:t>
            </w:r>
          </w:p>
          <w:p w:rsidR="00313BA6" w:rsidRDefault="00C04F2F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 xml:space="preserve">deliver the configured uplink grant and the </w:t>
            </w:r>
            <w:r>
              <w:rPr>
                <w:highlight w:val="yellow"/>
                <w:lang w:eastAsia="ko-KR"/>
              </w:rPr>
              <w:t>associated HARQ information to the HARQ entity.</w:t>
            </w:r>
          </w:p>
        </w:tc>
      </w:tr>
    </w:tbl>
    <w:p w:rsidR="00313BA6" w:rsidRDefault="00313BA6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313B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BA6" w:rsidRDefault="00C04F2F">
            <w:pPr>
              <w:spacing w:after="120" w:line="24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 38.331</w:t>
            </w:r>
            <w:r>
              <w:rPr>
                <w:rFonts w:eastAsiaTheme="minorEastAsia"/>
                <w:lang w:eastAsia="zh-CN"/>
              </w:rPr>
              <w:t xml:space="preserve"> text: </w:t>
            </w:r>
          </w:p>
          <w:p w:rsidR="00313BA6" w:rsidRDefault="00313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</w:pPr>
          </w:p>
          <w:p w:rsidR="00313BA6" w:rsidRDefault="00C04F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configuredGrantTimer</w:t>
            </w:r>
          </w:p>
          <w:p w:rsidR="00313BA6" w:rsidRDefault="00C04F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>
              <w:rPr>
                <w:rFonts w:ascii="Arial" w:hAnsi="Arial"/>
                <w:sz w:val="18"/>
                <w:szCs w:val="22"/>
                <w:lang w:val="en-GB" w:eastAsia="sv-SE"/>
              </w:rPr>
              <w:t>Indicates the initial value of the</w:t>
            </w:r>
            <w:bookmarkStart w:id="5" w:name="_Hlk146095475"/>
            <w:r>
              <w:rPr>
                <w:rFonts w:ascii="Arial" w:hAnsi="Arial"/>
                <w:sz w:val="18"/>
                <w:szCs w:val="22"/>
                <w:lang w:val="en-GB" w:eastAsia="sv-SE"/>
              </w:rPr>
              <w:t xml:space="preserve"> configured grant timer (see TS 38.321 [3]) in multiples of peri</w:t>
            </w:r>
            <w:r>
              <w:rPr>
                <w:rFonts w:ascii="Arial" w:hAnsi="Arial"/>
                <w:sz w:val="18"/>
                <w:szCs w:val="22"/>
                <w:lang w:val="en-GB" w:eastAsia="sv-SE"/>
              </w:rPr>
              <w:t>odicity</w:t>
            </w:r>
            <w:bookmarkEnd w:id="5"/>
            <w:r>
              <w:rPr>
                <w:rFonts w:ascii="Arial" w:hAnsi="Arial"/>
                <w:sz w:val="18"/>
                <w:szCs w:val="22"/>
                <w:lang w:val="en-GB" w:eastAsia="sv-SE"/>
              </w:rPr>
              <w:t xml:space="preserve">. </w:t>
            </w:r>
            <w:r>
              <w:rPr>
                <w:rFonts w:ascii="Arial" w:hAnsi="Arial" w:cs="Arial"/>
                <w:sz w:val="18"/>
                <w:szCs w:val="22"/>
                <w:lang w:val="en-GB" w:eastAsia="sv-SE"/>
              </w:rPr>
              <w:t xml:space="preserve">When </w:t>
            </w:r>
            <w:r>
              <w:rPr>
                <w:rFonts w:ascii="Arial" w:hAnsi="Arial" w:cs="Arial"/>
                <w:i/>
                <w:sz w:val="18"/>
                <w:szCs w:val="22"/>
                <w:lang w:val="en-GB" w:eastAsia="sv-SE"/>
              </w:rPr>
              <w:t>cg-RetransmissonTimer</w:t>
            </w:r>
            <w:r>
              <w:rPr>
                <w:rFonts w:ascii="Arial" w:hAnsi="Arial" w:cs="Arial"/>
                <w:sz w:val="18"/>
                <w:szCs w:val="22"/>
                <w:lang w:val="en-GB" w:eastAsia="sv-SE"/>
              </w:rPr>
              <w:t xml:space="preserve"> is configured, if HARQ processes are shared among different configured grants on the same BWP, </w:t>
            </w:r>
            <w:r>
              <w:rPr>
                <w:rFonts w:ascii="Arial" w:hAnsi="Arial" w:cs="Arial"/>
                <w:i/>
                <w:sz w:val="18"/>
                <w:szCs w:val="22"/>
                <w:lang w:val="en-GB" w:eastAsia="sv-SE"/>
              </w:rPr>
              <w:t xml:space="preserve">configuredGrantTimer * periodicity </w:t>
            </w:r>
            <w:r>
              <w:rPr>
                <w:rFonts w:ascii="Arial" w:hAnsi="Arial" w:cs="Arial"/>
                <w:sz w:val="18"/>
                <w:szCs w:val="22"/>
                <w:lang w:val="en-GB" w:eastAsia="sv-SE"/>
              </w:rPr>
              <w:t xml:space="preserve">is set to the same value for the configurations that share HARQ processes on this BWP. The value of the extension </w:t>
            </w:r>
            <w:r>
              <w:rPr>
                <w:rFonts w:ascii="Arial" w:hAnsi="Arial" w:cs="Arial"/>
                <w:i/>
                <w:iCs/>
                <w:sz w:val="18"/>
                <w:szCs w:val="22"/>
                <w:lang w:val="en-GB" w:eastAsia="sv-SE"/>
              </w:rPr>
              <w:t>configuredG</w:t>
            </w:r>
            <w:r>
              <w:rPr>
                <w:rFonts w:ascii="Arial" w:hAnsi="Arial" w:cs="Arial"/>
                <w:i/>
                <w:iCs/>
                <w:sz w:val="18"/>
                <w:szCs w:val="22"/>
                <w:lang w:val="en-GB" w:eastAsia="sv-SE"/>
              </w:rPr>
              <w:t>rantTimer</w:t>
            </w:r>
            <w:r>
              <w:rPr>
                <w:rFonts w:ascii="Arial" w:hAnsi="Arial" w:cs="Arial"/>
                <w:sz w:val="18"/>
                <w:szCs w:val="22"/>
                <w:lang w:val="en-GB" w:eastAsia="sv-SE"/>
              </w:rPr>
              <w:t xml:space="preserve"> is 2 times the configured value.</w:t>
            </w:r>
          </w:p>
        </w:tc>
      </w:tr>
    </w:tbl>
    <w:p w:rsidR="00313BA6" w:rsidRDefault="00313BA6">
      <w:pPr>
        <w:pStyle w:val="ListParagraph"/>
        <w:numPr>
          <w:ilvl w:val="0"/>
          <w:numId w:val="0"/>
        </w:numPr>
        <w:jc w:val="both"/>
        <w:rPr>
          <w:rFonts w:cs="Times New Roman"/>
          <w:color w:val="000000"/>
          <w:szCs w:val="24"/>
        </w:rPr>
      </w:pPr>
    </w:p>
    <w:sectPr w:rsidR="00313BA6" w:rsidSect="00313BA6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BA6" w:rsidRDefault="00C04F2F">
      <w:pPr>
        <w:spacing w:line="240" w:lineRule="auto"/>
      </w:pPr>
      <w:r>
        <w:separator/>
      </w:r>
    </w:p>
  </w:endnote>
  <w:endnote w:type="continuationSeparator" w:id="0">
    <w:p w:rsidR="00313BA6" w:rsidRDefault="00C04F2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Hilda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Noto Serif CJK JP SemiBold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BA6" w:rsidRDefault="00313B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04F2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3BA6" w:rsidRDefault="00313B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6360"/>
    </w:sdtPr>
    <w:sdtContent>
      <w:p w:rsidR="00313BA6" w:rsidRDefault="00313BA6">
        <w:pPr>
          <w:pStyle w:val="Footer"/>
          <w:jc w:val="center"/>
        </w:pPr>
        <w:r>
          <w:fldChar w:fldCharType="begin"/>
        </w:r>
        <w:r w:rsidR="00C04F2F">
          <w:instrText xml:space="preserve"> PAGE   \* MERGEFORMAT </w:instrText>
        </w:r>
        <w:r>
          <w:fldChar w:fldCharType="separate"/>
        </w:r>
        <w:r w:rsidR="00C04F2F">
          <w:rPr>
            <w:noProof/>
          </w:rPr>
          <w:t>4</w:t>
        </w:r>
        <w:r>
          <w:fldChar w:fldCharType="end"/>
        </w:r>
      </w:p>
    </w:sdtContent>
  </w:sdt>
  <w:p w:rsidR="00313BA6" w:rsidRDefault="00313B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BA6" w:rsidRDefault="00C04F2F">
      <w:pPr>
        <w:spacing w:after="0"/>
      </w:pPr>
      <w:r>
        <w:separator/>
      </w:r>
    </w:p>
  </w:footnote>
  <w:footnote w:type="continuationSeparator" w:id="0">
    <w:p w:rsidR="00313BA6" w:rsidRDefault="00C04F2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BA6" w:rsidRDefault="00313BA6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3E0EA3"/>
    <w:multiLevelType w:val="singleLevel"/>
    <w:tmpl w:val="BF3E0EA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C5F6AB4"/>
    <w:multiLevelType w:val="multilevel"/>
    <w:tmpl w:val="2C5F6A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D59F5"/>
    <w:multiLevelType w:val="multilevel"/>
    <w:tmpl w:val="37DD59F5"/>
    <w:lvl w:ilvl="0">
      <w:start w:val="1"/>
      <w:numFmt w:val="bullet"/>
      <w:lvlText w:val="●"/>
      <w:lvlJc w:val="left"/>
      <w:pPr>
        <w:tabs>
          <w:tab w:val="left" w:pos="720"/>
        </w:tabs>
        <w:ind w:left="720" w:hanging="360"/>
      </w:pPr>
      <w:rPr>
        <w:rFonts w:ascii="Ericsson Hilda" w:hAnsi="Ericsson Hilda" w:hint="default"/>
      </w:rPr>
    </w:lvl>
    <w:lvl w:ilvl="1">
      <w:start w:val="1"/>
      <w:numFmt w:val="bullet"/>
      <w:lvlText w:val="●"/>
      <w:lvlJc w:val="left"/>
      <w:pPr>
        <w:tabs>
          <w:tab w:val="left" w:pos="1440"/>
        </w:tabs>
        <w:ind w:left="1440" w:hanging="360"/>
      </w:pPr>
      <w:rPr>
        <w:rFonts w:ascii="Ericsson Hilda" w:hAnsi="Ericsson Hilda" w:hint="default"/>
      </w:rPr>
    </w:lvl>
    <w:lvl w:ilvl="2">
      <w:start w:val="1"/>
      <w:numFmt w:val="bullet"/>
      <w:lvlText w:val="●"/>
      <w:lvlJc w:val="left"/>
      <w:pPr>
        <w:tabs>
          <w:tab w:val="left" w:pos="2160"/>
        </w:tabs>
        <w:ind w:left="2160" w:hanging="360"/>
      </w:pPr>
      <w:rPr>
        <w:rFonts w:ascii="Ericsson Hilda" w:hAnsi="Ericsson Hilda" w:hint="default"/>
      </w:rPr>
    </w:lvl>
    <w:lvl w:ilvl="3">
      <w:start w:val="1"/>
      <w:numFmt w:val="bullet"/>
      <w:lvlText w:val="●"/>
      <w:lvlJc w:val="left"/>
      <w:pPr>
        <w:tabs>
          <w:tab w:val="left" w:pos="2880"/>
        </w:tabs>
        <w:ind w:left="2880" w:hanging="360"/>
      </w:pPr>
      <w:rPr>
        <w:rFonts w:ascii="Ericsson Hilda" w:hAnsi="Ericsson Hilda" w:hint="default"/>
      </w:rPr>
    </w:lvl>
    <w:lvl w:ilvl="4">
      <w:start w:val="1"/>
      <w:numFmt w:val="bullet"/>
      <w:lvlText w:val="●"/>
      <w:lvlJc w:val="left"/>
      <w:pPr>
        <w:tabs>
          <w:tab w:val="left" w:pos="3600"/>
        </w:tabs>
        <w:ind w:left="3600" w:hanging="360"/>
      </w:pPr>
      <w:rPr>
        <w:rFonts w:ascii="Ericsson Hilda" w:hAnsi="Ericsson Hilda" w:hint="default"/>
      </w:rPr>
    </w:lvl>
    <w:lvl w:ilvl="5">
      <w:start w:val="1"/>
      <w:numFmt w:val="bullet"/>
      <w:lvlText w:val="●"/>
      <w:lvlJc w:val="left"/>
      <w:pPr>
        <w:tabs>
          <w:tab w:val="left" w:pos="4320"/>
        </w:tabs>
        <w:ind w:left="4320" w:hanging="360"/>
      </w:pPr>
      <w:rPr>
        <w:rFonts w:ascii="Ericsson Hilda" w:hAnsi="Ericsson Hilda" w:hint="default"/>
      </w:rPr>
    </w:lvl>
    <w:lvl w:ilvl="6">
      <w:start w:val="1"/>
      <w:numFmt w:val="bullet"/>
      <w:lvlText w:val="●"/>
      <w:lvlJc w:val="left"/>
      <w:pPr>
        <w:tabs>
          <w:tab w:val="left" w:pos="5040"/>
        </w:tabs>
        <w:ind w:left="5040" w:hanging="360"/>
      </w:pPr>
      <w:rPr>
        <w:rFonts w:ascii="Ericsson Hilda" w:hAnsi="Ericsson Hilda" w:hint="default"/>
      </w:rPr>
    </w:lvl>
    <w:lvl w:ilvl="7">
      <w:start w:val="1"/>
      <w:numFmt w:val="bullet"/>
      <w:lvlText w:val="●"/>
      <w:lvlJc w:val="left"/>
      <w:pPr>
        <w:tabs>
          <w:tab w:val="left" w:pos="5760"/>
        </w:tabs>
        <w:ind w:left="5760" w:hanging="360"/>
      </w:pPr>
      <w:rPr>
        <w:rFonts w:ascii="Ericsson Hilda" w:hAnsi="Ericsson Hilda" w:hint="default"/>
      </w:rPr>
    </w:lvl>
    <w:lvl w:ilvl="8">
      <w:start w:val="1"/>
      <w:numFmt w:val="bullet"/>
      <w:lvlText w:val="●"/>
      <w:lvlJc w:val="left"/>
      <w:pPr>
        <w:tabs>
          <w:tab w:val="left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4EC7E47"/>
    <w:multiLevelType w:val="multilevel"/>
    <w:tmpl w:val="64EC7E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"/>
  </w:num>
  <w:num w:numId="5">
    <w:abstractNumId w:val="10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  <w:num w:numId="11">
    <w:abstractNumId w:val="5"/>
  </w:num>
  <w:num w:numId="12">
    <w:abstractNumId w:val="9"/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D96D82"/>
    <w:rsid w:val="AFFE2ABE"/>
    <w:rsid w:val="BF6A4487"/>
    <w:rsid w:val="BFF68C13"/>
    <w:rsid w:val="D7DAE89B"/>
    <w:rsid w:val="D94F2405"/>
    <w:rsid w:val="DDFA013A"/>
    <w:rsid w:val="E56F0295"/>
    <w:rsid w:val="EBDD8B8B"/>
    <w:rsid w:val="EBFBED80"/>
    <w:rsid w:val="EEBEFB32"/>
    <w:rsid w:val="F2EDC2FF"/>
    <w:rsid w:val="F7FE8718"/>
    <w:rsid w:val="F8F93066"/>
    <w:rsid w:val="FBFFF481"/>
    <w:rsid w:val="FCF15DF3"/>
    <w:rsid w:val="FDAF25A7"/>
    <w:rsid w:val="FF33A2A2"/>
    <w:rsid w:val="FF7076B6"/>
    <w:rsid w:val="00000689"/>
    <w:rsid w:val="00000957"/>
    <w:rsid w:val="00000993"/>
    <w:rsid w:val="00000A50"/>
    <w:rsid w:val="00001075"/>
    <w:rsid w:val="000020AF"/>
    <w:rsid w:val="00002290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B7C"/>
    <w:rsid w:val="00010C43"/>
    <w:rsid w:val="00010C71"/>
    <w:rsid w:val="00010EC4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A9E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90E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732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6E5"/>
    <w:rsid w:val="000637D6"/>
    <w:rsid w:val="00063D12"/>
    <w:rsid w:val="00063F7F"/>
    <w:rsid w:val="00063FBD"/>
    <w:rsid w:val="00063FCD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3459"/>
    <w:rsid w:val="000A3974"/>
    <w:rsid w:val="000A3A2D"/>
    <w:rsid w:val="000A4023"/>
    <w:rsid w:val="000A4107"/>
    <w:rsid w:val="000A41BF"/>
    <w:rsid w:val="000A42C5"/>
    <w:rsid w:val="000A4312"/>
    <w:rsid w:val="000A462F"/>
    <w:rsid w:val="000A4E36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AB2"/>
    <w:rsid w:val="000B4BC4"/>
    <w:rsid w:val="000B4FFF"/>
    <w:rsid w:val="000B51BA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121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4097"/>
    <w:rsid w:val="000D44C7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684"/>
    <w:rsid w:val="000E58F2"/>
    <w:rsid w:val="000E5B34"/>
    <w:rsid w:val="000E5BB0"/>
    <w:rsid w:val="000E61A5"/>
    <w:rsid w:val="000E708F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877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834"/>
    <w:rsid w:val="00115B50"/>
    <w:rsid w:val="00115CDF"/>
    <w:rsid w:val="0011603B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ADD"/>
    <w:rsid w:val="00117B8D"/>
    <w:rsid w:val="00117C5C"/>
    <w:rsid w:val="00117C6C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81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27D"/>
    <w:rsid w:val="00160651"/>
    <w:rsid w:val="00160D4E"/>
    <w:rsid w:val="001610F1"/>
    <w:rsid w:val="001614E8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4B1"/>
    <w:rsid w:val="0016467C"/>
    <w:rsid w:val="00164D8C"/>
    <w:rsid w:val="00164DEB"/>
    <w:rsid w:val="00164E2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755"/>
    <w:rsid w:val="0017182D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4A6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B8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869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1017"/>
    <w:rsid w:val="001B1038"/>
    <w:rsid w:val="001B1098"/>
    <w:rsid w:val="001B13A2"/>
    <w:rsid w:val="001B13C8"/>
    <w:rsid w:val="001B169A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B86"/>
    <w:rsid w:val="001E32A7"/>
    <w:rsid w:val="001E34F9"/>
    <w:rsid w:val="001E3554"/>
    <w:rsid w:val="001E3681"/>
    <w:rsid w:val="001E3766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EBF"/>
    <w:rsid w:val="001F2F54"/>
    <w:rsid w:val="001F2F9D"/>
    <w:rsid w:val="001F2FC1"/>
    <w:rsid w:val="001F31FA"/>
    <w:rsid w:val="001F4097"/>
    <w:rsid w:val="001F475A"/>
    <w:rsid w:val="001F478F"/>
    <w:rsid w:val="001F487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1BA"/>
    <w:rsid w:val="00212613"/>
    <w:rsid w:val="002138FE"/>
    <w:rsid w:val="00213AB9"/>
    <w:rsid w:val="00213AEC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EFE"/>
    <w:rsid w:val="00222FA1"/>
    <w:rsid w:val="00223342"/>
    <w:rsid w:val="002234DD"/>
    <w:rsid w:val="00223BE6"/>
    <w:rsid w:val="00223DF7"/>
    <w:rsid w:val="0022414B"/>
    <w:rsid w:val="0022427E"/>
    <w:rsid w:val="0022490E"/>
    <w:rsid w:val="00224AEA"/>
    <w:rsid w:val="00224F48"/>
    <w:rsid w:val="00224FE8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70E4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870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5DB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08C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B35"/>
    <w:rsid w:val="00293D9A"/>
    <w:rsid w:val="00293DAC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15E"/>
    <w:rsid w:val="002D4397"/>
    <w:rsid w:val="002D4620"/>
    <w:rsid w:val="002D4BE3"/>
    <w:rsid w:val="002D4C07"/>
    <w:rsid w:val="002D53A8"/>
    <w:rsid w:val="002D5636"/>
    <w:rsid w:val="002D570C"/>
    <w:rsid w:val="002D5945"/>
    <w:rsid w:val="002D5F5A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C7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B87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BA6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EFD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604"/>
    <w:rsid w:val="003A2703"/>
    <w:rsid w:val="003A27F8"/>
    <w:rsid w:val="003A2893"/>
    <w:rsid w:val="003A2A98"/>
    <w:rsid w:val="003A2C62"/>
    <w:rsid w:val="003A3167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09B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8D8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82F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9DB"/>
    <w:rsid w:val="00412B2C"/>
    <w:rsid w:val="00412B6E"/>
    <w:rsid w:val="00412B85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2A6"/>
    <w:rsid w:val="004223A5"/>
    <w:rsid w:val="0042249B"/>
    <w:rsid w:val="00422668"/>
    <w:rsid w:val="00422732"/>
    <w:rsid w:val="00422A88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8B9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543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989"/>
    <w:rsid w:val="00472148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B09"/>
    <w:rsid w:val="00477BEA"/>
    <w:rsid w:val="00477FBC"/>
    <w:rsid w:val="0048019E"/>
    <w:rsid w:val="004807DC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2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D20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51E"/>
    <w:rsid w:val="00495918"/>
    <w:rsid w:val="00495D1A"/>
    <w:rsid w:val="00495EB2"/>
    <w:rsid w:val="00495F14"/>
    <w:rsid w:val="00496245"/>
    <w:rsid w:val="00496CA2"/>
    <w:rsid w:val="00496E37"/>
    <w:rsid w:val="00497991"/>
    <w:rsid w:val="00497AF7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67F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059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15F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B96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BC5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1DD"/>
    <w:rsid w:val="005471ED"/>
    <w:rsid w:val="0054723D"/>
    <w:rsid w:val="005472E6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8DE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494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74C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4EF8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0F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11E6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B35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2EFA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2EB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0882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727"/>
    <w:rsid w:val="006C78D6"/>
    <w:rsid w:val="006C78FA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C62"/>
    <w:rsid w:val="006F6DCF"/>
    <w:rsid w:val="006F6FF3"/>
    <w:rsid w:val="006F71E8"/>
    <w:rsid w:val="006F751D"/>
    <w:rsid w:val="006F7726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17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C75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442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67FAF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B69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A1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10C"/>
    <w:rsid w:val="007A2318"/>
    <w:rsid w:val="007A2377"/>
    <w:rsid w:val="007A2403"/>
    <w:rsid w:val="007A29B9"/>
    <w:rsid w:val="007A30B1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74D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4CE4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193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08E"/>
    <w:rsid w:val="00827572"/>
    <w:rsid w:val="00827716"/>
    <w:rsid w:val="00827DE6"/>
    <w:rsid w:val="00827E45"/>
    <w:rsid w:val="008302CF"/>
    <w:rsid w:val="0083068A"/>
    <w:rsid w:val="00830920"/>
    <w:rsid w:val="00831241"/>
    <w:rsid w:val="00831279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572"/>
    <w:rsid w:val="00853905"/>
    <w:rsid w:val="00853DFD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01"/>
    <w:rsid w:val="0085586D"/>
    <w:rsid w:val="008558F1"/>
    <w:rsid w:val="00855AD2"/>
    <w:rsid w:val="00855AE2"/>
    <w:rsid w:val="00855D0C"/>
    <w:rsid w:val="0085603D"/>
    <w:rsid w:val="0085621B"/>
    <w:rsid w:val="00856272"/>
    <w:rsid w:val="00856731"/>
    <w:rsid w:val="008569C1"/>
    <w:rsid w:val="00856AEE"/>
    <w:rsid w:val="00856F7A"/>
    <w:rsid w:val="00857219"/>
    <w:rsid w:val="008577A1"/>
    <w:rsid w:val="00857800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1B08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2259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150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50"/>
    <w:rsid w:val="008D17D7"/>
    <w:rsid w:val="008D1843"/>
    <w:rsid w:val="008D1AF0"/>
    <w:rsid w:val="008D1D97"/>
    <w:rsid w:val="008D2447"/>
    <w:rsid w:val="008D28D6"/>
    <w:rsid w:val="008D2CC4"/>
    <w:rsid w:val="008D2D59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606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1FA2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9F8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6E2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124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7EE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1724"/>
    <w:rsid w:val="009A227E"/>
    <w:rsid w:val="009A22F2"/>
    <w:rsid w:val="009A2493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3A7"/>
    <w:rsid w:val="009B05F3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59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4A84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4F80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203DC"/>
    <w:rsid w:val="00A20495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798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19C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08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334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CC"/>
    <w:rsid w:val="00A821B3"/>
    <w:rsid w:val="00A83457"/>
    <w:rsid w:val="00A83543"/>
    <w:rsid w:val="00A8360B"/>
    <w:rsid w:val="00A83767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36"/>
    <w:rsid w:val="00A902A9"/>
    <w:rsid w:val="00A902AD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5F6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CD8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3FD"/>
    <w:rsid w:val="00B3743E"/>
    <w:rsid w:val="00B37C42"/>
    <w:rsid w:val="00B37CC2"/>
    <w:rsid w:val="00B37CC5"/>
    <w:rsid w:val="00B37F25"/>
    <w:rsid w:val="00B4022E"/>
    <w:rsid w:val="00B402F8"/>
    <w:rsid w:val="00B403D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CCA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53F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566"/>
    <w:rsid w:val="00BC56E0"/>
    <w:rsid w:val="00BC5AB8"/>
    <w:rsid w:val="00BC60B7"/>
    <w:rsid w:val="00BC616A"/>
    <w:rsid w:val="00BC6188"/>
    <w:rsid w:val="00BC6234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2F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DD1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2F1"/>
    <w:rsid w:val="00C3134C"/>
    <w:rsid w:val="00C31375"/>
    <w:rsid w:val="00C315B6"/>
    <w:rsid w:val="00C315E6"/>
    <w:rsid w:val="00C31B26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05A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82A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77E37"/>
    <w:rsid w:val="00C80095"/>
    <w:rsid w:val="00C8012F"/>
    <w:rsid w:val="00C804F3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110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6094"/>
    <w:rsid w:val="00CB6DE7"/>
    <w:rsid w:val="00CB7140"/>
    <w:rsid w:val="00CB73E7"/>
    <w:rsid w:val="00CB776F"/>
    <w:rsid w:val="00CB7CD0"/>
    <w:rsid w:val="00CB7E18"/>
    <w:rsid w:val="00CC0204"/>
    <w:rsid w:val="00CC0DB5"/>
    <w:rsid w:val="00CC1095"/>
    <w:rsid w:val="00CC10FB"/>
    <w:rsid w:val="00CC12AC"/>
    <w:rsid w:val="00CC175B"/>
    <w:rsid w:val="00CC1A26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83E"/>
    <w:rsid w:val="00CC3A80"/>
    <w:rsid w:val="00CC4045"/>
    <w:rsid w:val="00CC40B8"/>
    <w:rsid w:val="00CC40D6"/>
    <w:rsid w:val="00CC4414"/>
    <w:rsid w:val="00CC46B2"/>
    <w:rsid w:val="00CC47DE"/>
    <w:rsid w:val="00CC47ED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E9C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B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024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272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0F79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C95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81D"/>
    <w:rsid w:val="00D77CDB"/>
    <w:rsid w:val="00D77E1F"/>
    <w:rsid w:val="00D77E77"/>
    <w:rsid w:val="00D8000C"/>
    <w:rsid w:val="00D8025E"/>
    <w:rsid w:val="00D802E8"/>
    <w:rsid w:val="00D80AAF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300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7E9"/>
    <w:rsid w:val="00DF2A27"/>
    <w:rsid w:val="00DF2A5D"/>
    <w:rsid w:val="00DF2B0A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C00"/>
    <w:rsid w:val="00E03F0C"/>
    <w:rsid w:val="00E03F66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7F3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1A1"/>
    <w:rsid w:val="00E872E3"/>
    <w:rsid w:val="00E8751D"/>
    <w:rsid w:val="00E8767B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C56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52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9BD"/>
    <w:rsid w:val="00EF5E8C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1DC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D4C"/>
    <w:rsid w:val="00F16EF2"/>
    <w:rsid w:val="00F170FD"/>
    <w:rsid w:val="00F174B6"/>
    <w:rsid w:val="00F17621"/>
    <w:rsid w:val="00F17652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020"/>
    <w:rsid w:val="00F341BF"/>
    <w:rsid w:val="00F3420E"/>
    <w:rsid w:val="00F3483D"/>
    <w:rsid w:val="00F34A59"/>
    <w:rsid w:val="00F34B39"/>
    <w:rsid w:val="00F34C75"/>
    <w:rsid w:val="00F34E49"/>
    <w:rsid w:val="00F34E82"/>
    <w:rsid w:val="00F34EFD"/>
    <w:rsid w:val="00F34FA2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AA9"/>
    <w:rsid w:val="00F36CE2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121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1DE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27F"/>
    <w:rsid w:val="00F905CA"/>
    <w:rsid w:val="00F9078B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30B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2CD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6C4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723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655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FB50AD"/>
    <w:rsid w:val="27BF3AC3"/>
    <w:rsid w:val="33FCF4FC"/>
    <w:rsid w:val="441C060C"/>
    <w:rsid w:val="550C69B2"/>
    <w:rsid w:val="56962971"/>
    <w:rsid w:val="65F5C48B"/>
    <w:rsid w:val="66FE1070"/>
    <w:rsid w:val="69BBEFFC"/>
    <w:rsid w:val="6A514B71"/>
    <w:rsid w:val="724BB860"/>
    <w:rsid w:val="77F97716"/>
    <w:rsid w:val="77FFD795"/>
    <w:rsid w:val="79E35A8A"/>
    <w:rsid w:val="7BBCB2D5"/>
    <w:rsid w:val="7DAD5D5D"/>
    <w:rsid w:val="7DB7EB88"/>
    <w:rsid w:val="7DDFDC38"/>
    <w:rsid w:val="7EBD0711"/>
    <w:rsid w:val="7EFB9C16"/>
    <w:rsid w:val="7F2BC1A3"/>
    <w:rsid w:val="7F7FC81F"/>
    <w:rsid w:val="7F7FFBA2"/>
    <w:rsid w:val="7FBB7380"/>
    <w:rsid w:val="7FC79EA8"/>
    <w:rsid w:val="7FFF3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A6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313BA6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313BA6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313BA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3BA6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3BA6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3BA6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313BA6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313BA6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313BA6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313BA6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313BA6"/>
    <w:rPr>
      <w:sz w:val="18"/>
      <w:szCs w:val="18"/>
    </w:rPr>
  </w:style>
  <w:style w:type="paragraph" w:styleId="BodyText2">
    <w:name w:val="Body Text 2"/>
    <w:basedOn w:val="Normal"/>
    <w:qFormat/>
    <w:rsid w:val="00313BA6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313BA6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313BA6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313BA6"/>
  </w:style>
  <w:style w:type="paragraph" w:styleId="CommentSubject">
    <w:name w:val="annotation subject"/>
    <w:basedOn w:val="CommentText"/>
    <w:next w:val="CommentText"/>
    <w:semiHidden/>
    <w:qFormat/>
    <w:rsid w:val="00313BA6"/>
    <w:rPr>
      <w:b/>
      <w:bCs/>
    </w:rPr>
  </w:style>
  <w:style w:type="paragraph" w:styleId="DocumentMap">
    <w:name w:val="Document Map"/>
    <w:basedOn w:val="Normal"/>
    <w:semiHidden/>
    <w:qFormat/>
    <w:rsid w:val="00313BA6"/>
    <w:pPr>
      <w:shd w:val="clear" w:color="auto" w:fill="000080"/>
    </w:pPr>
  </w:style>
  <w:style w:type="character" w:styleId="Emphasis">
    <w:name w:val="Emphasis"/>
    <w:uiPriority w:val="20"/>
    <w:qFormat/>
    <w:rsid w:val="00313BA6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313B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313BA6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313B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313BA6"/>
    <w:pPr>
      <w:ind w:left="283" w:hanging="283"/>
    </w:pPr>
  </w:style>
  <w:style w:type="paragraph" w:styleId="List2">
    <w:name w:val="List 2"/>
    <w:basedOn w:val="List"/>
    <w:qFormat/>
    <w:rsid w:val="00313BA6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313BA6"/>
    <w:pPr>
      <w:ind w:leftChars="400" w:left="100" w:hangingChars="200" w:hanging="200"/>
    </w:pPr>
  </w:style>
  <w:style w:type="paragraph" w:styleId="List4">
    <w:name w:val="List 4"/>
    <w:basedOn w:val="Normal"/>
    <w:semiHidden/>
    <w:unhideWhenUsed/>
    <w:qFormat/>
    <w:rsid w:val="00313BA6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rsid w:val="00313BA6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313BA6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313BA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313BA6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313BA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313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313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313BA6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313BA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313BA6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313BA6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313BA6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313BA6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313BA6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313BA6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313BA6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313BA6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13BA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313BA6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313BA6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313BA6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313BA6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313BA6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313B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313BA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313BA6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313BA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313BA6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313BA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313BA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313BA6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313BA6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313BA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313BA6"/>
    <w:rPr>
      <w:b/>
    </w:rPr>
  </w:style>
  <w:style w:type="paragraph" w:customStyle="1" w:styleId="TAC">
    <w:name w:val="TAC"/>
    <w:basedOn w:val="Normal"/>
    <w:link w:val="TACChar"/>
    <w:qFormat/>
    <w:rsid w:val="00313BA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313BA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313BA6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313BA6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313BA6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313BA6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313BA6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13BA6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313BA6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313BA6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313BA6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313BA6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313BA6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313BA6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313BA6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313BA6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313BA6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313BA6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313BA6"/>
    <w:pPr>
      <w:ind w:left="851" w:hanging="851"/>
    </w:pPr>
  </w:style>
  <w:style w:type="paragraph" w:customStyle="1" w:styleId="LGTdoc">
    <w:name w:val="LGTdoc_본문"/>
    <w:basedOn w:val="Normal"/>
    <w:qFormat/>
    <w:rsid w:val="00313BA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313BA6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13BA6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313BA6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313BA6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313BA6"/>
  </w:style>
  <w:style w:type="character" w:customStyle="1" w:styleId="apple-converted-space">
    <w:name w:val="apple-converted-space"/>
    <w:qFormat/>
    <w:rsid w:val="00313BA6"/>
  </w:style>
  <w:style w:type="character" w:customStyle="1" w:styleId="PlainTextChar">
    <w:name w:val="Plain Text Char"/>
    <w:link w:val="PlainText"/>
    <w:uiPriority w:val="99"/>
    <w:qFormat/>
    <w:rsid w:val="00313BA6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313BA6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313BA6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313BA6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313BA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313BA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313BA6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313BA6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313BA6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313BA6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313BA6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13BA6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313BA6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313BA6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313BA6"/>
    <w:rPr>
      <w:szCs w:val="24"/>
    </w:rPr>
  </w:style>
  <w:style w:type="paragraph" w:customStyle="1" w:styleId="Revision2">
    <w:name w:val="Revision2"/>
    <w:hidden/>
    <w:uiPriority w:val="99"/>
    <w:semiHidden/>
    <w:qFormat/>
    <w:rsid w:val="00313BA6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313BA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313B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313BA6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313BA6"/>
    <w:rPr>
      <w:rFonts w:eastAsia="Times New Roman"/>
      <w:lang w:val="en-GB" w:eastAsia="ja-JP"/>
    </w:rPr>
  </w:style>
  <w:style w:type="character" w:customStyle="1" w:styleId="1">
    <w:name w:val="列表段落 字符1"/>
    <w:uiPriority w:val="34"/>
    <w:qFormat/>
    <w:rsid w:val="00313BA6"/>
    <w:rPr>
      <w:rFonts w:ascii="Times" w:eastAsia="Batang" w:hAnsi="Times"/>
      <w:szCs w:val="24"/>
      <w:lang w:val="en-GB" w:eastAsia="zh-CN"/>
    </w:rPr>
  </w:style>
  <w:style w:type="character" w:customStyle="1" w:styleId="Heading6Char">
    <w:name w:val="Heading 6 Char"/>
    <w:link w:val="Heading6"/>
    <w:qFormat/>
    <w:rsid w:val="00313BA6"/>
    <w:rPr>
      <w:rFonts w:ascii="Arial" w:eastAsia="SimHei" w:hAnsi="Arial"/>
      <w:b/>
      <w:bCs/>
      <w:sz w:val="24"/>
      <w:szCs w:val="24"/>
      <w:lang w:eastAsia="en-US"/>
    </w:rPr>
  </w:style>
  <w:style w:type="paragraph" w:customStyle="1" w:styleId="10">
    <w:name w:val="修订1"/>
    <w:hidden/>
    <w:uiPriority w:val="99"/>
    <w:semiHidden/>
    <w:qFormat/>
    <w:rsid w:val="00313BA6"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DefaultParagraphFont"/>
    <w:qFormat/>
    <w:rsid w:val="00313BA6"/>
  </w:style>
  <w:style w:type="character" w:customStyle="1" w:styleId="eop">
    <w:name w:val="eop"/>
    <w:basedOn w:val="DefaultParagraphFont"/>
    <w:qFormat/>
    <w:rsid w:val="00313BA6"/>
  </w:style>
  <w:style w:type="paragraph" w:customStyle="1" w:styleId="paragraph">
    <w:name w:val="paragraph"/>
    <w:basedOn w:val="Normal"/>
    <w:qFormat/>
    <w:rsid w:val="00313BA6"/>
    <w:pPr>
      <w:spacing w:before="100" w:beforeAutospacing="1" w:after="100" w:afterAutospacing="1" w:line="240" w:lineRule="auto"/>
    </w:pPr>
    <w:rPr>
      <w:sz w:val="24"/>
    </w:rPr>
  </w:style>
  <w:style w:type="paragraph" w:customStyle="1" w:styleId="xmsonormal">
    <w:name w:val="x_msonormal"/>
    <w:basedOn w:val="Normal"/>
    <w:qFormat/>
    <w:rsid w:val="00313BA6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paragraph" w:customStyle="1" w:styleId="B4">
    <w:name w:val="B4"/>
    <w:basedOn w:val="List4"/>
    <w:link w:val="B4Char"/>
    <w:qFormat/>
    <w:rsid w:val="00313BA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313BA6"/>
    <w:rPr>
      <w:rFonts w:eastAsia="Times New Roman"/>
      <w:lang w:val="en-GB" w:eastAsia="ja-JP"/>
    </w:rPr>
  </w:style>
  <w:style w:type="paragraph" w:customStyle="1" w:styleId="textintend3">
    <w:name w:val="text intend 3"/>
    <w:basedOn w:val="Normal"/>
    <w:qFormat/>
    <w:rsid w:val="00313BA6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2019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16</cp:revision>
  <cp:lastPrinted>2019-08-10T16:10:00Z</cp:lastPrinted>
  <dcterms:created xsi:type="dcterms:W3CDTF">2023-09-20T03:02:00Z</dcterms:created>
  <dcterms:modified xsi:type="dcterms:W3CDTF">2023-09-28T08:45:00Z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1033-11.1.0.11704</vt:lpwstr>
  </property>
  <property fmtid="{D5CDD505-2E9C-101B-9397-08002B2CF9AE}" pid="3" name="ICV">
    <vt:lpwstr>97006686000A4292AD1D9D4D82D430B6</vt:lpwstr>
  </property>
</Properties>
</file>